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highlight w:val="none"/>
          <w:lang w:val="en-US" w:eastAsia="zh-CN"/>
        </w:rPr>
      </w:pPr>
      <w:bookmarkStart w:id="0" w:name="_Toc193024528"/>
      <w:r>
        <w:rPr>
          <w:rFonts w:ascii="Arial" w:hAnsi="Arial" w:cs="Arial"/>
          <w:b/>
          <w:sz w:val="24"/>
          <w:szCs w:val="24"/>
          <w:highlight w:val="none"/>
        </w:rPr>
        <w:t>3GPP TSG-RAN WG4 Meeting # 9</w:t>
      </w:r>
      <w:r>
        <w:rPr>
          <w:rFonts w:hint="eastAsia" w:eastAsia="宋体" w:cs="Arial"/>
          <w:b/>
          <w:sz w:val="24"/>
          <w:szCs w:val="24"/>
          <w:highlight w:val="none"/>
          <w:lang w:val="en-US" w:eastAsia="zh-CN"/>
        </w:rPr>
        <w:t>7</w:t>
      </w:r>
      <w:r>
        <w:rPr>
          <w:rFonts w:ascii="Arial" w:hAnsi="Arial" w:cs="Arial"/>
          <w:b/>
          <w:sz w:val="24"/>
          <w:szCs w:val="24"/>
          <w:highlight w:val="none"/>
        </w:rPr>
        <w:t xml:space="preserve">-e </w:t>
      </w:r>
      <w:r>
        <w:rPr>
          <w:rFonts w:hint="eastAsia" w:ascii="Arial" w:hAnsi="Arial" w:eastAsia="宋体" w:cs="Arial"/>
          <w:b/>
          <w:sz w:val="24"/>
          <w:szCs w:val="24"/>
          <w:highlight w:val="none"/>
          <w:lang w:val="en-US" w:eastAsia="zh-CN"/>
        </w:rPr>
        <w:t xml:space="preserve">                                                            </w:t>
      </w:r>
      <w:r>
        <w:rPr>
          <w:rFonts w:ascii="Arial" w:hAnsi="Arial" w:cs="Arial"/>
          <w:b/>
          <w:sz w:val="24"/>
          <w:szCs w:val="24"/>
          <w:highlight w:val="none"/>
        </w:rPr>
        <w:t>R4-20</w:t>
      </w:r>
      <w:r>
        <w:rPr>
          <w:rFonts w:hint="eastAsia" w:eastAsia="宋体" w:cs="Arial"/>
          <w:b/>
          <w:sz w:val="24"/>
          <w:szCs w:val="24"/>
          <w:highlight w:val="none"/>
          <w:lang w:val="en-US" w:eastAsia="zh-CN"/>
        </w:rPr>
        <w:t>15038</w:t>
      </w:r>
      <w:bookmarkStart w:id="1" w:name="_GoBack"/>
      <w:bookmarkEnd w:id="1"/>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b/>
          <w:sz w:val="24"/>
          <w:szCs w:val="24"/>
          <w:highlight w:val="none"/>
          <w:lang w:val="en-US" w:eastAsia="zh-CN"/>
        </w:rPr>
      </w:pPr>
      <w:r>
        <w:rPr>
          <w:rFonts w:ascii="Arial" w:hAnsi="Arial" w:cs="Arial"/>
          <w:b/>
          <w:sz w:val="24"/>
          <w:szCs w:val="24"/>
          <w:highlight w:val="none"/>
          <w:lang w:eastAsia="zh-CN"/>
        </w:rPr>
        <w:t xml:space="preserve">Electronic Meeting, </w:t>
      </w:r>
      <w:r>
        <w:rPr>
          <w:rFonts w:hint="eastAsia" w:cs="Arial"/>
          <w:b/>
          <w:sz w:val="24"/>
          <w:szCs w:val="24"/>
          <w:highlight w:val="none"/>
          <w:lang w:val="en-US" w:eastAsia="zh-CN"/>
        </w:rPr>
        <w:t>2</w:t>
      </w:r>
      <w:r>
        <w:rPr>
          <w:rFonts w:ascii="Arial" w:hAnsi="Arial" w:cs="Arial"/>
          <w:b/>
          <w:sz w:val="24"/>
          <w:szCs w:val="24"/>
          <w:highlight w:val="none"/>
          <w:lang w:eastAsia="zh-CN"/>
        </w:rPr>
        <w:t>-</w:t>
      </w:r>
      <w:r>
        <w:rPr>
          <w:rFonts w:hint="eastAsia" w:cs="Arial"/>
          <w:b/>
          <w:sz w:val="24"/>
          <w:szCs w:val="24"/>
          <w:highlight w:val="none"/>
          <w:lang w:val="en-US" w:eastAsia="zh-CN"/>
        </w:rPr>
        <w:t>13</w:t>
      </w:r>
      <w:r>
        <w:rPr>
          <w:rFonts w:ascii="Arial" w:hAnsi="Arial" w:cs="Arial"/>
          <w:b/>
          <w:sz w:val="24"/>
          <w:szCs w:val="24"/>
          <w:highlight w:val="none"/>
          <w:lang w:eastAsia="zh-CN"/>
        </w:rPr>
        <w:t xml:space="preserve"> </w:t>
      </w:r>
      <w:r>
        <w:rPr>
          <w:rFonts w:hint="eastAsia" w:cs="Arial"/>
          <w:b/>
          <w:sz w:val="24"/>
          <w:szCs w:val="24"/>
          <w:highlight w:val="none"/>
          <w:lang w:val="en-US" w:eastAsia="zh-CN"/>
        </w:rPr>
        <w:t>Nov</w:t>
      </w:r>
      <w:r>
        <w:rPr>
          <w:rFonts w:ascii="Arial" w:hAnsi="Arial" w:cs="Arial"/>
          <w:b/>
          <w:sz w:val="24"/>
          <w:szCs w:val="24"/>
          <w:highlight w:val="none"/>
          <w:lang w:eastAsia="zh-CN"/>
        </w:rPr>
        <w:t>., 2020</w:t>
      </w: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highlight w:val="none"/>
          <w:lang w:val="en-US" w:eastAsia="zh-CN"/>
        </w:rPr>
      </w:pPr>
      <w:r>
        <w:rPr>
          <w:rFonts w:hint="default" w:ascii="Arial" w:hAnsi="Arial" w:cs="Arial"/>
          <w:sz w:val="22"/>
          <w:szCs w:val="22"/>
          <w:highlight w:val="none"/>
          <w:lang w:eastAsia="zh-CN"/>
        </w:rPr>
        <w:t>Source</w:t>
      </w:r>
      <w:r>
        <w:rPr>
          <w:rFonts w:hint="default" w:ascii="Arial" w:hAnsi="Arial" w:eastAsia="宋体" w:cs="Arial"/>
          <w:sz w:val="22"/>
          <w:szCs w:val="22"/>
          <w:highlight w:val="none"/>
          <w:lang w:eastAsia="zh-CN"/>
        </w:rPr>
        <w:t>:</w:t>
      </w:r>
      <w:r>
        <w:rPr>
          <w:rFonts w:hint="default" w:ascii="Arial" w:hAnsi="Arial" w:eastAsia="宋体" w:cs="Arial"/>
          <w:sz w:val="22"/>
          <w:szCs w:val="22"/>
          <w:highlight w:val="none"/>
          <w:lang w:eastAsia="zh-CN"/>
        </w:rPr>
        <w:tab/>
      </w:r>
      <w:r>
        <w:rPr>
          <w:rFonts w:hint="default" w:ascii="Arial" w:hAnsi="Arial" w:eastAsia="宋体" w:cs="Arial"/>
          <w:b w:val="0"/>
          <w:sz w:val="22"/>
          <w:szCs w:val="22"/>
          <w:highlight w:val="none"/>
          <w:lang w:eastAsia="zh-CN"/>
        </w:rPr>
        <w:t>ZTE</w:t>
      </w:r>
      <w:r>
        <w:rPr>
          <w:rFonts w:hint="default" w:ascii="Arial" w:hAnsi="Arial" w:eastAsia="宋体" w:cs="Arial"/>
          <w:b w:val="0"/>
          <w:sz w:val="22"/>
          <w:szCs w:val="22"/>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val="en-US" w:eastAsia="zh-CN"/>
        </w:rPr>
        <w:t>Title:</w:t>
      </w:r>
      <w:r>
        <w:rPr>
          <w:rFonts w:hint="default" w:ascii="Arial" w:hAnsi="Arial" w:cs="Arial"/>
          <w:sz w:val="22"/>
          <w:szCs w:val="22"/>
          <w:highlight w:val="none"/>
          <w:lang w:val="en-US" w:eastAsia="zh-CN"/>
        </w:rPr>
        <w:tab/>
      </w:r>
      <w:r>
        <w:rPr>
          <w:rFonts w:hint="eastAsia" w:cs="Arial"/>
          <w:b w:val="0"/>
          <w:bCs/>
          <w:sz w:val="22"/>
          <w:szCs w:val="22"/>
          <w:highlight w:val="none"/>
          <w:lang w:val="en-US" w:eastAsia="zh-CN"/>
        </w:rPr>
        <w:t xml:space="preserve">Discussion on PC2 intra-band contiguous NR CA </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eastAsia="zh-CN"/>
        </w:rPr>
        <w:t>Agenda Item:</w:t>
      </w:r>
      <w:r>
        <w:rPr>
          <w:rFonts w:hint="default" w:ascii="Arial" w:hAnsi="Arial" w:cs="Arial"/>
          <w:sz w:val="22"/>
          <w:szCs w:val="22"/>
          <w:highlight w:val="none"/>
          <w:lang w:eastAsia="zh-CN"/>
        </w:rPr>
        <w:tab/>
      </w:r>
      <w:r>
        <w:rPr>
          <w:rFonts w:hint="eastAsia" w:ascii="Arial" w:hAnsi="Arial" w:cs="Arial"/>
          <w:b w:val="0"/>
          <w:bCs/>
          <w:sz w:val="22"/>
          <w:szCs w:val="22"/>
          <w:highlight w:val="none"/>
          <w:lang w:val="en-US" w:eastAsia="zh-CN"/>
        </w:rPr>
        <w:t>1</w:t>
      </w:r>
      <w:r>
        <w:rPr>
          <w:rFonts w:hint="eastAsia" w:cs="Arial"/>
          <w:b w:val="0"/>
          <w:bCs/>
          <w:sz w:val="22"/>
          <w:szCs w:val="22"/>
          <w:highlight w:val="none"/>
          <w:lang w:val="en-US" w:eastAsia="zh-CN"/>
        </w:rPr>
        <w:t>2.2.2.4</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highlight w:val="none"/>
          <w:lang w:eastAsia="zh-CN"/>
        </w:rPr>
      </w:pPr>
      <w:r>
        <w:rPr>
          <w:rFonts w:hint="default" w:ascii="Arial" w:hAnsi="Arial" w:cs="Arial"/>
          <w:sz w:val="22"/>
          <w:szCs w:val="22"/>
          <w:highlight w:val="none"/>
          <w:lang w:eastAsia="zh-CN"/>
        </w:rPr>
        <w:t>Document for:</w:t>
      </w:r>
      <w:r>
        <w:rPr>
          <w:rFonts w:hint="default" w:ascii="Arial" w:hAnsi="Arial" w:cs="Arial"/>
          <w:sz w:val="22"/>
          <w:szCs w:val="22"/>
          <w:highlight w:val="none"/>
          <w:lang w:eastAsia="zh-CN"/>
        </w:rPr>
        <w:tab/>
      </w:r>
      <w:r>
        <w:rPr>
          <w:rFonts w:hint="default" w:ascii="Arial" w:hAnsi="Arial" w:eastAsia="宋体" w:cs="Arial"/>
          <w:b w:val="0"/>
          <w:sz w:val="22"/>
          <w:szCs w:val="22"/>
          <w:highlight w:val="none"/>
          <w:lang w:val="en-US" w:eastAsia="zh-CN"/>
        </w:rPr>
        <w:t>Approval</w:t>
      </w:r>
      <w:r>
        <w:rPr>
          <w:rFonts w:hint="default" w:ascii="Arial" w:hAnsi="Arial" w:eastAsia="宋体" w:cs="Arial"/>
          <w:sz w:val="20"/>
          <w:highlight w:val="none"/>
          <w:lang w:eastAsia="zh-CN"/>
        </w:rPr>
        <w:t xml:space="preserve"> </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1</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In last ran #89e meeting, a new WID[1] for R17 NR FR1 was agreed, where the objectives for HPUE TDD intra-band contiguous UL CA are listed below.</w:t>
      </w:r>
    </w:p>
    <w:p>
      <w:pPr>
        <w:numPr>
          <w:ilvl w:val="0"/>
          <w:numId w:val="13"/>
        </w:numPr>
        <w:overflowPunct/>
        <w:autoSpaceDE/>
        <w:autoSpaceDN/>
        <w:adjustRightInd w:val="0"/>
        <w:spacing w:after="0"/>
        <w:ind w:left="405" w:hanging="360"/>
        <w:textAlignment w:val="auto"/>
        <w:rPr>
          <w:rFonts w:ascii="Times New Roman" w:hAnsi="Times New Roman" w:eastAsia="等线" w:cs="Times New Roman"/>
          <w:i/>
          <w:iCs/>
          <w:sz w:val="20"/>
          <w:highlight w:val="none"/>
          <w:lang w:val="en-US" w:eastAsia="zh-CN"/>
        </w:rPr>
      </w:pPr>
      <w:r>
        <w:rPr>
          <w:rFonts w:ascii="Times New Roman" w:hAnsi="Times New Roman" w:eastAsia="等线" w:cs="Times New Roman"/>
          <w:i/>
          <w:iCs/>
          <w:sz w:val="20"/>
          <w:highlight w:val="none"/>
          <w:lang w:val="en-US" w:eastAsia="zh-CN"/>
        </w:rPr>
        <w:t>HPUE for TDD intra</w:t>
      </w:r>
      <w:r>
        <w:rPr>
          <w:rFonts w:hint="eastAsia" w:ascii="Times New Roman" w:hAnsi="Times New Roman" w:eastAsia="等线" w:cs="Times New Roman"/>
          <w:i/>
          <w:iCs/>
          <w:sz w:val="20"/>
          <w:highlight w:val="none"/>
          <w:lang w:val="en-US" w:eastAsia="zh-CN"/>
        </w:rPr>
        <w:t>-</w:t>
      </w:r>
      <w:r>
        <w:rPr>
          <w:rFonts w:ascii="Times New Roman" w:hAnsi="Times New Roman" w:eastAsia="等线" w:cs="Times New Roman"/>
          <w:i/>
          <w:iCs/>
          <w:sz w:val="20"/>
          <w:highlight w:val="none"/>
          <w:lang w:val="en-US" w:eastAsia="zh-CN"/>
        </w:rPr>
        <w:t>band contiguous UL CA</w:t>
      </w:r>
    </w:p>
    <w:p>
      <w:pPr>
        <w:numPr>
          <w:ilvl w:val="1"/>
          <w:numId w:val="14"/>
        </w:numPr>
        <w:overflowPunct/>
        <w:autoSpaceDE/>
        <w:autoSpaceDN/>
        <w:adjustRightInd w:val="0"/>
        <w:spacing w:after="0"/>
        <w:ind w:left="1134" w:hanging="283"/>
        <w:textAlignment w:val="auto"/>
        <w:rPr>
          <w:rFonts w:ascii="Times New Roman" w:hAnsi="Times New Roman" w:eastAsia="等线" w:cs="Times New Roman"/>
          <w:i/>
          <w:iCs/>
          <w:sz w:val="20"/>
          <w:highlight w:val="none"/>
          <w:lang w:val="en-US" w:eastAsia="ja-JP"/>
        </w:rPr>
      </w:pPr>
      <w:r>
        <w:rPr>
          <w:rFonts w:ascii="Times New Roman" w:hAnsi="Times New Roman" w:eastAsia="等线" w:cs="Times New Roman"/>
          <w:i/>
          <w:iCs/>
          <w:sz w:val="20"/>
          <w:highlight w:val="none"/>
          <w:lang w:val="en-US" w:eastAsia="ja-JP"/>
        </w:rPr>
        <w:t>Take n41 and n78 intra-band contiguous UL CA for examples</w:t>
      </w:r>
    </w:p>
    <w:p>
      <w:pPr>
        <w:numPr>
          <w:ilvl w:val="2"/>
          <w:numId w:val="15"/>
        </w:numPr>
        <w:overflowPunct/>
        <w:autoSpaceDE/>
        <w:autoSpaceDN/>
        <w:adjustRightInd w:val="0"/>
        <w:spacing w:after="0"/>
        <w:ind w:left="1843" w:hanging="425"/>
        <w:textAlignment w:val="auto"/>
        <w:rPr>
          <w:rFonts w:ascii="Times New Roman" w:hAnsi="Times New Roman" w:eastAsia="等线" w:cs="Times New Roman"/>
          <w:i/>
          <w:iCs/>
          <w:sz w:val="20"/>
          <w:highlight w:val="none"/>
          <w:lang w:val="en-US" w:eastAsia="ja-JP"/>
        </w:rPr>
      </w:pPr>
      <w:r>
        <w:rPr>
          <w:rFonts w:ascii="Times New Roman" w:hAnsi="Times New Roman" w:eastAsia="等线" w:cs="Times New Roman"/>
          <w:i/>
          <w:iCs/>
          <w:sz w:val="20"/>
          <w:highlight w:val="none"/>
          <w:lang w:val="en-US" w:eastAsia="zh-CN"/>
        </w:rPr>
        <w:t>The</w:t>
      </w:r>
      <w:r>
        <w:rPr>
          <w:rFonts w:hint="eastAsia" w:ascii="Times New Roman" w:hAnsi="Times New Roman" w:eastAsia="等线" w:cs="Times New Roman"/>
          <w:i/>
          <w:iCs/>
          <w:sz w:val="20"/>
          <w:highlight w:val="none"/>
          <w:lang w:val="en-US" w:eastAsia="zh-CN"/>
        </w:rPr>
        <w:t xml:space="preserve"> </w:t>
      </w:r>
      <w:r>
        <w:rPr>
          <w:rFonts w:ascii="Times New Roman" w:hAnsi="Times New Roman" w:eastAsia="等线" w:cs="Times New Roman"/>
          <w:i/>
          <w:iCs/>
          <w:sz w:val="20"/>
          <w:highlight w:val="none"/>
          <w:lang w:val="en-US" w:eastAsia="zh-CN"/>
        </w:rPr>
        <w:t>two example intra-band contiguous UL CA configurations are under considerations</w:t>
      </w:r>
    </w:p>
    <w:p>
      <w:pPr>
        <w:numPr>
          <w:ilvl w:val="3"/>
          <w:numId w:val="15"/>
        </w:numPr>
        <w:overflowPunct/>
        <w:autoSpaceDE/>
        <w:autoSpaceDN/>
        <w:adjustRightInd w:val="0"/>
        <w:spacing w:after="0"/>
        <w:ind w:left="1725" w:hanging="420"/>
        <w:textAlignment w:val="auto"/>
        <w:rPr>
          <w:rFonts w:ascii="Times New Roman" w:hAnsi="Times New Roman" w:eastAsia="等线" w:cs="Times New Roman"/>
          <w:i/>
          <w:iCs/>
          <w:sz w:val="20"/>
          <w:highlight w:val="none"/>
          <w:lang w:val="en-US" w:eastAsia="ja-JP"/>
        </w:rPr>
      </w:pPr>
      <w:r>
        <w:rPr>
          <w:rFonts w:hint="eastAsia" w:ascii="Times New Roman" w:hAnsi="Times New Roman" w:eastAsia="等线" w:cs="Times New Roman"/>
          <w:i/>
          <w:iCs/>
          <w:sz w:val="20"/>
          <w:highlight w:val="none"/>
          <w:lang w:val="en-US" w:eastAsia="zh-CN"/>
        </w:rPr>
        <w:t>C</w:t>
      </w:r>
      <w:r>
        <w:rPr>
          <w:rFonts w:ascii="Times New Roman" w:hAnsi="Times New Roman" w:eastAsia="等线" w:cs="Times New Roman"/>
          <w:i/>
          <w:iCs/>
          <w:sz w:val="20"/>
          <w:highlight w:val="none"/>
          <w:lang w:val="en-US" w:eastAsia="zh-CN"/>
        </w:rPr>
        <w:t>A_n41C, CA_n78C</w:t>
      </w:r>
    </w:p>
    <w:p>
      <w:pPr>
        <w:numPr>
          <w:ilvl w:val="1"/>
          <w:numId w:val="14"/>
        </w:numPr>
        <w:overflowPunct/>
        <w:autoSpaceDE/>
        <w:autoSpaceDN/>
        <w:adjustRightInd w:val="0"/>
        <w:spacing w:after="0"/>
        <w:ind w:left="1134" w:hanging="283"/>
        <w:textAlignment w:val="auto"/>
        <w:rPr>
          <w:rFonts w:ascii="Times New Roman" w:hAnsi="Times New Roman" w:eastAsia="等线" w:cs="Times New Roman"/>
          <w:i/>
          <w:iCs/>
          <w:sz w:val="20"/>
          <w:highlight w:val="none"/>
          <w:lang w:val="en-US" w:eastAsia="ja-JP"/>
        </w:rPr>
      </w:pPr>
      <w:r>
        <w:rPr>
          <w:rFonts w:ascii="Times New Roman" w:hAnsi="Times New Roman" w:eastAsia="等线" w:cs="Times New Roman"/>
          <w:i/>
          <w:iCs/>
          <w:sz w:val="20"/>
          <w:highlight w:val="none"/>
          <w:lang w:val="en-US" w:eastAsia="ja-JP"/>
        </w:rPr>
        <w:t>Investigate and specify the 26dBm power class for n41and n78 intra-band contiguous UL CA</w:t>
      </w:r>
    </w:p>
    <w:p>
      <w:pPr>
        <w:numPr>
          <w:ilvl w:val="2"/>
          <w:numId w:val="15"/>
        </w:numPr>
        <w:overflowPunct/>
        <w:autoSpaceDE/>
        <w:autoSpaceDN/>
        <w:adjustRightInd w:val="0"/>
        <w:spacing w:after="0"/>
        <w:ind w:left="1843" w:hanging="425"/>
        <w:textAlignment w:val="auto"/>
        <w:rPr>
          <w:rFonts w:ascii="Times New Roman" w:hAnsi="Times New Roman" w:eastAsia="等线" w:cs="Times New Roman"/>
          <w:i/>
          <w:iCs/>
          <w:sz w:val="20"/>
          <w:highlight w:val="none"/>
          <w:lang w:val="en-US" w:eastAsia="ja-JP"/>
        </w:rPr>
      </w:pPr>
      <w:r>
        <w:rPr>
          <w:rFonts w:ascii="Times New Roman" w:hAnsi="Times New Roman" w:eastAsia="等线" w:cs="Times New Roman"/>
          <w:i/>
          <w:iCs/>
          <w:sz w:val="20"/>
          <w:highlight w:val="none"/>
          <w:lang w:val="en-US" w:eastAsia="ja-JP"/>
        </w:rPr>
        <w:t>Identify the impact of different UE architectures on the requirements</w:t>
      </w:r>
    </w:p>
    <w:p>
      <w:pPr>
        <w:numPr>
          <w:ilvl w:val="3"/>
          <w:numId w:val="15"/>
        </w:numPr>
        <w:overflowPunct/>
        <w:autoSpaceDE/>
        <w:autoSpaceDN/>
        <w:adjustRightInd w:val="0"/>
        <w:spacing w:after="0"/>
        <w:ind w:left="1725" w:hanging="420"/>
        <w:textAlignment w:val="auto"/>
        <w:rPr>
          <w:rFonts w:ascii="Times New Roman" w:hAnsi="Times New Roman" w:eastAsia="等线" w:cs="Times New Roman"/>
          <w:i/>
          <w:iCs/>
          <w:sz w:val="20"/>
          <w:highlight w:val="none"/>
          <w:lang w:val="en-US" w:eastAsia="ja-JP"/>
        </w:rPr>
      </w:pPr>
      <w:r>
        <w:rPr>
          <w:rFonts w:ascii="Times New Roman" w:hAnsi="Times New Roman" w:eastAsia="等线" w:cs="Times New Roman"/>
          <w:i/>
          <w:iCs/>
          <w:sz w:val="20"/>
          <w:highlight w:val="none"/>
          <w:lang w:val="en-US" w:eastAsia="ja-JP"/>
        </w:rPr>
        <w:t xml:space="preserve"> Power class relation between single CC and intra-band contiguous CA on HPUE band is clarified if any</w:t>
      </w:r>
    </w:p>
    <w:p>
      <w:pPr>
        <w:numPr>
          <w:ilvl w:val="2"/>
          <w:numId w:val="15"/>
        </w:numPr>
        <w:overflowPunct/>
        <w:autoSpaceDE/>
        <w:autoSpaceDN/>
        <w:adjustRightInd w:val="0"/>
        <w:spacing w:after="0"/>
        <w:ind w:left="1843" w:hanging="425"/>
        <w:textAlignment w:val="auto"/>
        <w:rPr>
          <w:rFonts w:ascii="Times New Roman" w:hAnsi="Times New Roman" w:eastAsia="等线" w:cs="Times New Roman"/>
          <w:i/>
          <w:iCs/>
          <w:sz w:val="20"/>
          <w:highlight w:val="none"/>
          <w:lang w:val="en-US" w:eastAsia="ja-JP"/>
        </w:rPr>
      </w:pPr>
      <w:r>
        <w:rPr>
          <w:rFonts w:ascii="Times New Roman" w:hAnsi="Times New Roman" w:eastAsia="等线" w:cs="Times New Roman"/>
          <w:i/>
          <w:iCs/>
          <w:sz w:val="20"/>
          <w:highlight w:val="none"/>
          <w:lang w:val="en-US" w:eastAsia="ja-JP"/>
        </w:rPr>
        <w:t>Specify the mechanism to meet SAR requirements if necessary</w:t>
      </w:r>
    </w:p>
    <w:p>
      <w:pPr>
        <w:numPr>
          <w:ilvl w:val="3"/>
          <w:numId w:val="15"/>
        </w:numPr>
        <w:overflowPunct/>
        <w:autoSpaceDE/>
        <w:autoSpaceDN/>
        <w:adjustRightInd w:val="0"/>
        <w:spacing w:after="0"/>
        <w:ind w:left="1725" w:hanging="420"/>
        <w:textAlignment w:val="auto"/>
        <w:rPr>
          <w:rFonts w:ascii="Times New Roman" w:hAnsi="Times New Roman" w:eastAsia="等线" w:cs="Times New Roman"/>
          <w:i/>
          <w:iCs/>
          <w:sz w:val="20"/>
          <w:highlight w:val="none"/>
          <w:lang w:val="en-US" w:eastAsia="ja-JP"/>
        </w:rPr>
      </w:pPr>
      <w:r>
        <w:rPr>
          <w:rFonts w:ascii="Times New Roman" w:hAnsi="Times New Roman" w:eastAsia="等线" w:cs="Times New Roman"/>
          <w:i/>
          <w:iCs/>
          <w:sz w:val="20"/>
          <w:highlight w:val="none"/>
          <w:lang w:val="en-US" w:eastAsia="ja-JP"/>
        </w:rPr>
        <w:t>Mechanism for HPUE on single carrier can be a start point considering the same UL-DL configuration assumption</w:t>
      </w:r>
    </w:p>
    <w:p>
      <w:pPr>
        <w:numPr>
          <w:ilvl w:val="2"/>
          <w:numId w:val="15"/>
        </w:numPr>
        <w:overflowPunct/>
        <w:autoSpaceDE/>
        <w:autoSpaceDN/>
        <w:adjustRightInd w:val="0"/>
        <w:spacing w:after="0"/>
        <w:ind w:left="1843" w:hanging="425"/>
        <w:textAlignment w:val="auto"/>
        <w:rPr>
          <w:rFonts w:ascii="Times New Roman" w:hAnsi="Times New Roman" w:eastAsia="等线" w:cs="Times New Roman"/>
          <w:i/>
          <w:iCs/>
          <w:sz w:val="20"/>
          <w:highlight w:val="none"/>
          <w:lang w:val="en-US" w:eastAsia="ja-JP"/>
        </w:rPr>
      </w:pPr>
      <w:r>
        <w:rPr>
          <w:rFonts w:ascii="Times New Roman" w:hAnsi="Times New Roman" w:eastAsia="等线" w:cs="Times New Roman"/>
          <w:i/>
          <w:iCs/>
          <w:sz w:val="20"/>
          <w:highlight w:val="none"/>
          <w:lang w:val="en-US" w:eastAsia="ja-JP"/>
        </w:rPr>
        <w:t>A-MPR requirement</w:t>
      </w:r>
    </w:p>
    <w:p>
      <w:pPr>
        <w:keepNext w:val="0"/>
        <w:keepLines w:val="0"/>
        <w:pageBreakBefore w:val="0"/>
        <w:widowControl/>
        <w:numPr>
          <w:ilvl w:val="1"/>
          <w:numId w:val="14"/>
        </w:numPr>
        <w:kinsoku/>
        <w:wordWrap/>
        <w:overflowPunct/>
        <w:topLinePunct w:val="0"/>
        <w:autoSpaceDE/>
        <w:autoSpaceDN/>
        <w:bidi w:val="0"/>
        <w:adjustRightInd w:val="0"/>
        <w:snapToGrid/>
        <w:spacing w:after="0"/>
        <w:ind w:left="1134" w:leftChars="0" w:hanging="283"/>
        <w:textAlignment w:val="auto"/>
        <w:outlineLvl w:val="9"/>
        <w:rPr>
          <w:rFonts w:hint="eastAsia" w:ascii="Times New Roman" w:hAnsi="Times New Roman" w:eastAsia="宋体" w:cs="Times New Roman"/>
          <w:i w:val="0"/>
          <w:iCs w:val="0"/>
          <w:sz w:val="20"/>
          <w:szCs w:val="22"/>
          <w:highlight w:val="none"/>
          <w:lang w:val="en-US" w:eastAsia="zh-CN"/>
        </w:rPr>
      </w:pPr>
      <w:r>
        <w:rPr>
          <w:rFonts w:ascii="Times New Roman" w:hAnsi="Times New Roman" w:eastAsia="等线" w:cs="Times New Roman"/>
          <w:i/>
          <w:iCs/>
          <w:sz w:val="20"/>
          <w:highlight w:val="none"/>
          <w:lang w:val="en-US" w:eastAsia="ja-JP"/>
        </w:rPr>
        <w:t>Specify MPR requirements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highlight w:val="none"/>
          <w:lang w:val="en-US" w:eastAsia="zh-CN"/>
        </w:rPr>
      </w:pPr>
      <w:r>
        <w:rPr>
          <w:rFonts w:hint="eastAsia" w:ascii="Times New Roman" w:hAnsi="Times New Roman" w:eastAsia="宋体" w:cs="Times New Roman"/>
          <w:i w:val="0"/>
          <w:iCs w:val="0"/>
          <w:sz w:val="20"/>
          <w:szCs w:val="22"/>
          <w:highlight w:val="none"/>
          <w:lang w:val="en-US" w:eastAsia="zh-CN"/>
        </w:rPr>
        <w:t xml:space="preserve">In this contribution, we give some </w:t>
      </w:r>
      <w:r>
        <w:rPr>
          <w:rFonts w:hint="eastAsia" w:eastAsia="宋体" w:cs="Times New Roman"/>
          <w:i w:val="0"/>
          <w:iCs w:val="0"/>
          <w:sz w:val="20"/>
          <w:szCs w:val="22"/>
          <w:highlight w:val="none"/>
          <w:lang w:val="en-US" w:eastAsia="zh-CN"/>
        </w:rPr>
        <w:t xml:space="preserve">initial </w:t>
      </w:r>
      <w:r>
        <w:rPr>
          <w:rFonts w:hint="eastAsia" w:ascii="Times New Roman" w:hAnsi="Times New Roman" w:eastAsia="宋体" w:cs="Times New Roman"/>
          <w:i w:val="0"/>
          <w:iCs w:val="0"/>
          <w:sz w:val="20"/>
          <w:szCs w:val="22"/>
          <w:highlight w:val="none"/>
          <w:lang w:val="en-US" w:eastAsia="zh-CN"/>
        </w:rPr>
        <w:t>discussion on the</w:t>
      </w:r>
      <w:r>
        <w:rPr>
          <w:rFonts w:hint="eastAsia" w:eastAsia="宋体" w:cs="Times New Roman"/>
          <w:i w:val="0"/>
          <w:iCs w:val="0"/>
          <w:sz w:val="20"/>
          <w:szCs w:val="22"/>
          <w:highlight w:val="none"/>
          <w:lang w:val="en-US" w:eastAsia="zh-CN"/>
        </w:rPr>
        <w:t xml:space="preserve"> PC2</w:t>
      </w:r>
      <w:r>
        <w:rPr>
          <w:rFonts w:hint="eastAsia" w:ascii="Times New Roman" w:hAnsi="Times New Roman" w:eastAsia="宋体" w:cs="Times New Roman"/>
          <w:i w:val="0"/>
          <w:iCs w:val="0"/>
          <w:sz w:val="20"/>
          <w:szCs w:val="22"/>
          <w:highlight w:val="none"/>
          <w:lang w:val="en-US" w:eastAsia="zh-CN"/>
        </w:rPr>
        <w:t xml:space="preserve"> NR int</w:t>
      </w:r>
      <w:r>
        <w:rPr>
          <w:rFonts w:hint="eastAsia" w:eastAsia="宋体" w:cs="Times New Roman"/>
          <w:i w:val="0"/>
          <w:iCs w:val="0"/>
          <w:sz w:val="20"/>
          <w:szCs w:val="22"/>
          <w:highlight w:val="none"/>
          <w:lang w:val="en-US" w:eastAsia="zh-CN"/>
        </w:rPr>
        <w:t>ra</w:t>
      </w:r>
      <w:r>
        <w:rPr>
          <w:rFonts w:hint="eastAsia" w:ascii="Times New Roman" w:hAnsi="Times New Roman" w:eastAsia="宋体" w:cs="Times New Roman"/>
          <w:i w:val="0"/>
          <w:iCs w:val="0"/>
          <w:sz w:val="20"/>
          <w:szCs w:val="22"/>
          <w:highlight w:val="none"/>
          <w:lang w:val="en-US" w:eastAsia="zh-CN"/>
        </w:rPr>
        <w:t xml:space="preserve">-band </w:t>
      </w:r>
      <w:r>
        <w:rPr>
          <w:rFonts w:hint="eastAsia" w:eastAsia="宋体" w:cs="Times New Roman"/>
          <w:i w:val="0"/>
          <w:iCs w:val="0"/>
          <w:sz w:val="20"/>
          <w:szCs w:val="22"/>
          <w:highlight w:val="none"/>
          <w:lang w:val="en-US" w:eastAsia="zh-CN"/>
        </w:rPr>
        <w:t xml:space="preserve">contiguous UL </w:t>
      </w:r>
      <w:r>
        <w:rPr>
          <w:rFonts w:hint="eastAsia" w:ascii="Times New Roman" w:hAnsi="Times New Roman" w:eastAsia="宋体" w:cs="Times New Roman"/>
          <w:i w:val="0"/>
          <w:iCs w:val="0"/>
          <w:sz w:val="20"/>
          <w:szCs w:val="22"/>
          <w:highlight w:val="none"/>
          <w:lang w:val="en-US" w:eastAsia="zh-CN"/>
        </w:rPr>
        <w:t>CA.</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2</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Discussion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i w:val="0"/>
          <w:iCs w:val="0"/>
          <w:sz w:val="20"/>
          <w:szCs w:val="22"/>
          <w:highlight w:val="none"/>
          <w:lang w:val="en-US" w:eastAsia="zh-CN"/>
        </w:rPr>
      </w:pPr>
      <w:r>
        <w:rPr>
          <w:rFonts w:hint="eastAsia" w:eastAsia="宋体" w:cs="Times New Roman"/>
          <w:b/>
          <w:bCs/>
          <w:i w:val="0"/>
          <w:iCs w:val="0"/>
          <w:sz w:val="20"/>
          <w:szCs w:val="22"/>
          <w:highlight w:val="none"/>
          <w:lang w:val="en-US" w:eastAsia="zh-CN"/>
        </w:rPr>
        <w:t>2.1 RF requirements related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ascii="Times New Roman" w:hAnsi="Times New Roman" w:eastAsia="宋体" w:cs="Times New Roman"/>
          <w:i w:val="0"/>
          <w:iCs w:val="0"/>
          <w:sz w:val="20"/>
          <w:szCs w:val="22"/>
          <w:highlight w:val="none"/>
          <w:lang w:val="en-US" w:eastAsia="zh-CN"/>
        </w:rPr>
        <w:t>According</w:t>
      </w:r>
      <w:r>
        <w:rPr>
          <w:rFonts w:hint="eastAsia" w:eastAsia="宋体" w:cs="Times New Roman"/>
          <w:i w:val="0"/>
          <w:iCs w:val="0"/>
          <w:sz w:val="20"/>
          <w:szCs w:val="22"/>
          <w:highlight w:val="none"/>
          <w:lang w:val="en-US" w:eastAsia="zh-CN"/>
        </w:rPr>
        <w:t xml:space="preserve"> to the WID, the PC2 intra-band contiguous UL CA configurations of CA_n41C and CA_n78C are taken for the examples. It shall be noted that the RF requirements for PC3 intra-band contiguous UL CA configurations have been completed in current TS38.101-1 v16.5.0, where the PC3 intra-band contiguous UL CA configurations of CA_n41C and CA_n78C are included.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等线" w:cs="Times New Roman"/>
          <w:i w:val="0"/>
          <w:iCs w:val="0"/>
          <w:sz w:val="20"/>
          <w:highlight w:val="none"/>
          <w:lang w:val="en-US" w:eastAsia="zh-CN"/>
        </w:rPr>
      </w:pPr>
      <w:r>
        <w:rPr>
          <w:rFonts w:hint="eastAsia" w:eastAsia="宋体" w:cs="Times New Roman"/>
          <w:i w:val="0"/>
          <w:iCs w:val="0"/>
          <w:sz w:val="20"/>
          <w:szCs w:val="22"/>
          <w:highlight w:val="none"/>
          <w:lang w:val="en-US" w:eastAsia="zh-CN"/>
        </w:rPr>
        <w:t xml:space="preserve">In addition, the PC2 intra-band contiguous UL CA configuration of CA_41C was supported in TS36.101. However, unlike LTE intra-band contiguous UL CA, the aggregated channel bandwidth for NR UL CA are larger than LTE UL CA. Therefore, for the RF </w:t>
      </w:r>
      <w:r>
        <w:rPr>
          <w:rFonts w:ascii="Times New Roman" w:hAnsi="Times New Roman" w:eastAsia="等线" w:cs="Times New Roman"/>
          <w:i w:val="0"/>
          <w:iCs w:val="0"/>
          <w:sz w:val="20"/>
          <w:highlight w:val="none"/>
          <w:lang w:val="en-US" w:eastAsia="ja-JP"/>
        </w:rPr>
        <w:t xml:space="preserve">architectures </w:t>
      </w:r>
      <w:r>
        <w:rPr>
          <w:rFonts w:hint="eastAsia" w:eastAsia="等线" w:cs="Times New Roman"/>
          <w:i w:val="0"/>
          <w:iCs w:val="0"/>
          <w:sz w:val="20"/>
          <w:highlight w:val="none"/>
          <w:lang w:val="en-US" w:eastAsia="zh-CN"/>
        </w:rPr>
        <w:t>to implement the intra-band contiguous CA, it seems there are two cases: 1 PA or 2 PA, where for 1 PA, it is easy to understand that 1 PA with 26dBm output power is used to caputure up to 200MHz aggregated channel bandwidth, and for 2 PA, seemingly things become a little bit complexity since it can be 23dBm+23dBm or 23dBm+26dBm. For 23+26dBm, for intra-band contiguous NR CA, it is reasonable to keep the same PSD for each CC, which means the power of the each chain should be keep the same.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From RF requirements perspective, due to the RF requirements for PC2 single carriers have been already completed and the receiver RF requirements are defined per CC, also this WID is only focus on intra-band UL CA, so Rx RF requirements are not impacted.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For the Tx requirements, n</w:t>
      </w:r>
      <w:r>
        <w:rPr>
          <w:rFonts w:hint="eastAsia" w:eastAsia="等线" w:cs="Times New Roman"/>
          <w:i w:val="0"/>
          <w:iCs w:val="0"/>
          <w:sz w:val="20"/>
          <w:highlight w:val="none"/>
          <w:lang w:val="en-US" w:eastAsia="zh-CN"/>
        </w:rPr>
        <w:t xml:space="preserve">o matter which RF </w:t>
      </w:r>
      <w:r>
        <w:rPr>
          <w:rFonts w:ascii="Times New Roman" w:hAnsi="Times New Roman" w:eastAsia="等线" w:cs="Times New Roman"/>
          <w:i w:val="0"/>
          <w:iCs w:val="0"/>
          <w:sz w:val="20"/>
          <w:highlight w:val="none"/>
          <w:lang w:val="en-US" w:eastAsia="ja-JP"/>
        </w:rPr>
        <w:t xml:space="preserve">architectures </w:t>
      </w:r>
      <w:r>
        <w:rPr>
          <w:rFonts w:hint="eastAsia" w:eastAsia="等线" w:cs="Times New Roman"/>
          <w:i w:val="0"/>
          <w:iCs w:val="0"/>
          <w:sz w:val="20"/>
          <w:highlight w:val="none"/>
          <w:lang w:val="en-US" w:eastAsia="zh-CN"/>
        </w:rPr>
        <w:t>would be used, we think t</w:t>
      </w:r>
      <w:r>
        <w:rPr>
          <w:rFonts w:hint="eastAsia" w:eastAsia="宋体"/>
          <w:sz w:val="20"/>
          <w:szCs w:val="22"/>
          <w:highlight w:val="none"/>
          <w:lang w:val="en-US" w:eastAsia="zh-CN"/>
        </w:rPr>
        <w:t xml:space="preserve">here is no need to modify the spectrum emission mask for CA found in section </w:t>
      </w:r>
      <w:r>
        <w:rPr>
          <w:rFonts w:hint="eastAsia" w:ascii="Times New Roman" w:hAnsi="Times New Roman" w:eastAsia="宋体"/>
          <w:sz w:val="20"/>
          <w:szCs w:val="22"/>
          <w:highlight w:val="none"/>
          <w:lang w:val="en-US" w:eastAsia="zh-CN"/>
        </w:rPr>
        <w:t>6.5A.2.2.1</w:t>
      </w:r>
      <w:r>
        <w:rPr>
          <w:rFonts w:hint="eastAsia" w:eastAsia="宋体"/>
          <w:sz w:val="20"/>
          <w:szCs w:val="22"/>
          <w:highlight w:val="none"/>
          <w:lang w:val="en-US" w:eastAsia="zh-CN"/>
        </w:rPr>
        <w:t xml:space="preserve"> and additional spurious emission in section 6.5A.3 in TS38.101. For the other Tx requirements, the </w:t>
      </w:r>
      <w:r>
        <w:rPr>
          <w:rFonts w:hint="eastAsia" w:eastAsia="宋体" w:cs="Times New Roman"/>
          <w:i w:val="0"/>
          <w:iCs w:val="0"/>
          <w:sz w:val="20"/>
          <w:szCs w:val="22"/>
          <w:highlight w:val="none"/>
          <w:lang w:val="en-US" w:eastAsia="zh-CN"/>
        </w:rPr>
        <w:t>RF requirements due to the introduction of PC2 intra-band contiguous UL CA are listed as follow.</w:t>
      </w:r>
    </w:p>
    <w:p>
      <w:pPr>
        <w:keepNext/>
        <w:keepLines/>
        <w:pageBreakBefore w:val="0"/>
        <w:widowControl w:val="0"/>
        <w:numPr>
          <w:ilvl w:val="0"/>
          <w:numId w:val="16"/>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eastAsia="宋体"/>
          <w:sz w:val="20"/>
          <w:szCs w:val="22"/>
          <w:highlight w:val="none"/>
          <w:lang w:val="en-US" w:eastAsia="zh-CN"/>
        </w:rPr>
        <w:t>UE maximum output power for CA</w:t>
      </w:r>
    </w:p>
    <w:p>
      <w:pPr>
        <w:keepNext/>
        <w:keepLines/>
        <w:pageBreakBefore w:val="0"/>
        <w:widowControl w:val="0"/>
        <w:numPr>
          <w:ilvl w:val="0"/>
          <w:numId w:val="16"/>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Pcmax</w:t>
      </w:r>
    </w:p>
    <w:p>
      <w:pPr>
        <w:keepNext/>
        <w:keepLines/>
        <w:pageBreakBefore w:val="0"/>
        <w:widowControl w:val="0"/>
        <w:numPr>
          <w:ilvl w:val="0"/>
          <w:numId w:val="16"/>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MPR/A-MPR</w:t>
      </w:r>
    </w:p>
    <w:p>
      <w:pPr>
        <w:keepNext/>
        <w:keepLines/>
        <w:pageBreakBefore w:val="0"/>
        <w:widowControl w:val="0"/>
        <w:numPr>
          <w:ilvl w:val="0"/>
          <w:numId w:val="16"/>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ACLR</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 xml:space="preserve">For UE maximum output power for CA, it is quite simple that the 26dBm +2/-2 dB shall be added for CA_n41C and CA_n78C in table </w:t>
      </w:r>
      <w:r>
        <w:rPr>
          <w:rFonts w:hint="eastAsia" w:eastAsia="宋体"/>
          <w:sz w:val="20"/>
          <w:szCs w:val="22"/>
          <w:highlight w:val="none"/>
          <w:lang w:val="en-US" w:eastAsia="zh-CN"/>
        </w:rPr>
        <w:t xml:space="preserve">6.2A.1.1-1 in TS38.101-1, where the tolerance of </w:t>
      </w:r>
      <w:r>
        <w:rPr>
          <w:rFonts w:hint="eastAsia" w:eastAsia="宋体" w:cs="Times New Roman"/>
          <w:i w:val="0"/>
          <w:iCs w:val="0"/>
          <w:sz w:val="20"/>
          <w:szCs w:val="22"/>
          <w:highlight w:val="none"/>
          <w:lang w:val="en-US" w:eastAsia="zh-CN"/>
        </w:rPr>
        <w:t>+2/-2 dB is re-used from the corresponding PC3 intra-band contigous UL CA, regardless of the RF implementation architectures.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sz w:val="20"/>
          <w:highlight w:val="none"/>
          <w:vertAlign w:val="baseline"/>
          <w:lang w:val="en-US" w:eastAsia="zh-CN"/>
        </w:rPr>
      </w:pPr>
      <w:r>
        <w:rPr>
          <w:rFonts w:hint="eastAsia" w:eastAsia="宋体" w:cs="Times New Roman"/>
          <w:i w:val="0"/>
          <w:iCs w:val="0"/>
          <w:sz w:val="20"/>
          <w:szCs w:val="22"/>
          <w:highlight w:val="none"/>
          <w:lang w:val="en-US" w:eastAsia="zh-CN"/>
        </w:rPr>
        <w:t xml:space="preserve">For Pcmax, it related to the duty cycle solutions when the preconditions are not meet which cause the PC2 fallback to PC3, and also it is no relationship with RF implementation architectures Therefore, the only change is to introduce a parameter of </w:t>
      </w:r>
      <w:r>
        <w:rPr>
          <w:sz w:val="20"/>
          <w:highlight w:val="none"/>
          <w:lang w:eastAsia="zh-CN"/>
        </w:rPr>
        <w:t>ΔP</w:t>
      </w:r>
      <w:r>
        <w:rPr>
          <w:sz w:val="20"/>
          <w:highlight w:val="none"/>
          <w:vertAlign w:val="subscript"/>
          <w:lang w:eastAsia="zh-CN"/>
        </w:rPr>
        <w:t>PowerClass</w:t>
      </w:r>
      <w:r>
        <w:rPr>
          <w:rFonts w:hint="eastAsia"/>
          <w:sz w:val="20"/>
          <w:highlight w:val="none"/>
          <w:vertAlign w:val="subscript"/>
          <w:lang w:val="en-US" w:eastAsia="zh-CN"/>
        </w:rPr>
        <w:t xml:space="preserve"> </w:t>
      </w:r>
      <w:r>
        <w:rPr>
          <w:rFonts w:hint="eastAsia"/>
          <w:sz w:val="20"/>
          <w:highlight w:val="none"/>
          <w:vertAlign w:val="baseline"/>
          <w:lang w:val="en-US" w:eastAsia="zh-CN"/>
        </w:rPr>
        <w:t xml:space="preserve">in the current </w:t>
      </w:r>
      <w:r>
        <w:rPr>
          <w:rFonts w:cs="Vrinda"/>
          <w:sz w:val="20"/>
          <w:highlight w:val="none"/>
          <w:lang w:bidi="bn-IN"/>
        </w:rPr>
        <w:t>P</w:t>
      </w:r>
      <w:r>
        <w:rPr>
          <w:rFonts w:cs="Vrinda"/>
          <w:sz w:val="20"/>
          <w:highlight w:val="none"/>
          <w:vertAlign w:val="subscript"/>
          <w:lang w:bidi="bn-IN"/>
        </w:rPr>
        <w:t>CMAX_L</w:t>
      </w:r>
      <w:r>
        <w:rPr>
          <w:rFonts w:hint="eastAsia" w:eastAsia="宋体" w:cs="Vrinda"/>
          <w:highlight w:val="none"/>
          <w:vertAlign w:val="subscript"/>
          <w:lang w:val="en-US" w:eastAsia="zh-CN" w:bidi="bn-IN"/>
        </w:rPr>
        <w:t xml:space="preserve"> </w:t>
      </w:r>
      <w:r>
        <w:rPr>
          <w:rFonts w:hint="eastAsia"/>
          <w:sz w:val="20"/>
          <w:highlight w:val="none"/>
          <w:vertAlign w:val="baseline"/>
          <w:lang w:val="en-US" w:eastAsia="zh-CN"/>
        </w:rPr>
        <w:t>equation.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sz w:val="20"/>
          <w:highlight w:val="none"/>
          <w:vertAlign w:val="baseline"/>
          <w:lang w:val="en-US" w:eastAsia="zh-CN"/>
        </w:rPr>
      </w:pPr>
      <w:r>
        <w:rPr>
          <w:rFonts w:hint="eastAsia"/>
          <w:sz w:val="20"/>
          <w:highlight w:val="none"/>
          <w:vertAlign w:val="baseline"/>
          <w:lang w:val="en-US" w:eastAsia="zh-CN"/>
        </w:rPr>
        <w:t xml:space="preserve">For MPR/A-MPR, it is no doubt that these two requirements need to be re-evaluated to meet the current emission mask requirements for PC2 intra-band contiguous UL CA. Also it seems it is related to the </w:t>
      </w:r>
      <w:r>
        <w:rPr>
          <w:rFonts w:hint="eastAsia" w:eastAsia="MS Mincho" w:cs="Times New Roman"/>
          <w:i w:val="0"/>
          <w:iCs w:val="0"/>
          <w:sz w:val="20"/>
          <w:szCs w:val="20"/>
          <w:highlight w:val="none"/>
          <w:lang w:val="en-US" w:eastAsia="zh-CN"/>
        </w:rPr>
        <w:t>RF implementation architectures.</w:t>
      </w:r>
      <w:r>
        <w:rPr>
          <w:rFonts w:hint="eastAsia"/>
          <w:sz w:val="20"/>
          <w:highlight w:val="none"/>
          <w:vertAlign w:val="baseline"/>
          <w:lang w:val="en-US" w:eastAsia="zh-CN"/>
        </w:rPr>
        <w:t xml:space="preserve">  The simulation assumptions need further discussion.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sz w:val="20"/>
          <w:highlight w:val="none"/>
          <w:vertAlign w:val="baseline"/>
          <w:lang w:val="en-US" w:eastAsia="zh-CN"/>
        </w:rPr>
      </w:pPr>
      <w:r>
        <w:rPr>
          <w:rFonts w:hint="eastAsia"/>
          <w:sz w:val="20"/>
          <w:highlight w:val="none"/>
          <w:vertAlign w:val="baseline"/>
          <w:lang w:val="en-US" w:eastAsia="zh-CN"/>
        </w:rPr>
        <w:t xml:space="preserve">For ACLR, the same requirement for PC2 single carrier (i.e. ACLR=31dB) is re-used for PC2 intra-band contiguous UL CA, and also it is band independence requirements.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sz w:val="20"/>
          <w:highlight w:val="none"/>
          <w:vertAlign w:val="baseline"/>
          <w:lang w:val="en-US" w:eastAsia="zh-CN"/>
        </w:rPr>
      </w:pPr>
      <w:r>
        <w:rPr>
          <w:rFonts w:hint="eastAsia"/>
          <w:sz w:val="20"/>
          <w:highlight w:val="none"/>
          <w:vertAlign w:val="baseline"/>
          <w:lang w:val="en-US" w:eastAsia="zh-CN"/>
        </w:rPr>
        <w:t>Therefore, for the PC2 intra-band contiguous CA, the proposals for the related RF requirements are: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i w:val="0"/>
          <w:iCs w:val="0"/>
          <w:sz w:val="20"/>
          <w:szCs w:val="22"/>
          <w:highlight w:val="none"/>
          <w:lang w:val="en-US" w:eastAsia="zh-CN"/>
        </w:rPr>
      </w:pPr>
      <w:r>
        <w:rPr>
          <w:rFonts w:hint="eastAsia" w:eastAsia="宋体"/>
          <w:b/>
          <w:bCs/>
          <w:sz w:val="20"/>
          <w:szCs w:val="22"/>
          <w:highlight w:val="none"/>
          <w:lang w:val="en-US" w:eastAsia="zh-CN"/>
        </w:rPr>
        <w:t xml:space="preserve">Observation </w:t>
      </w:r>
      <w:r>
        <w:rPr>
          <w:rFonts w:hint="eastAsia"/>
          <w:b/>
          <w:bCs/>
          <w:sz w:val="20"/>
          <w:highlight w:val="none"/>
          <w:vertAlign w:val="baseline"/>
          <w:lang w:val="en-US" w:eastAsia="zh-CN"/>
        </w:rPr>
        <w:t xml:space="preserve">1: </w:t>
      </w:r>
      <w:r>
        <w:rPr>
          <w:rFonts w:hint="eastAsia" w:eastAsia="宋体" w:cs="Times New Roman"/>
          <w:i w:val="0"/>
          <w:iCs w:val="0"/>
          <w:sz w:val="20"/>
          <w:szCs w:val="22"/>
          <w:highlight w:val="none"/>
          <w:lang w:val="en-US" w:eastAsia="zh-CN"/>
        </w:rPr>
        <w:t xml:space="preserve"> </w:t>
      </w:r>
      <w:r>
        <w:rPr>
          <w:rFonts w:hint="eastAsia" w:eastAsia="宋体" w:cs="Times New Roman"/>
          <w:b/>
          <w:bCs/>
          <w:i w:val="0"/>
          <w:iCs w:val="0"/>
          <w:sz w:val="20"/>
          <w:szCs w:val="22"/>
          <w:highlight w:val="none"/>
          <w:lang w:val="en-US" w:eastAsia="zh-CN"/>
        </w:rPr>
        <w:t>Rx RF requirements are not impacted.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i w:val="0"/>
          <w:iCs w:val="0"/>
          <w:sz w:val="20"/>
          <w:szCs w:val="22"/>
          <w:highlight w:val="none"/>
          <w:lang w:val="en-US" w:eastAsia="zh-CN"/>
        </w:rPr>
      </w:pPr>
      <w:r>
        <w:rPr>
          <w:rFonts w:hint="eastAsia"/>
          <w:b/>
          <w:bCs/>
          <w:sz w:val="20"/>
          <w:highlight w:val="none"/>
          <w:vertAlign w:val="baseline"/>
          <w:lang w:val="en-US" w:eastAsia="zh-CN"/>
        </w:rPr>
        <w:t xml:space="preserve">Proposal 1: </w:t>
      </w:r>
      <w:r>
        <w:rPr>
          <w:rFonts w:hint="eastAsia" w:eastAsia="宋体" w:cs="Times New Roman"/>
          <w:b/>
          <w:bCs/>
          <w:i w:val="0"/>
          <w:iCs w:val="0"/>
          <w:sz w:val="20"/>
          <w:szCs w:val="22"/>
          <w:highlight w:val="none"/>
          <w:lang w:val="en-US" w:eastAsia="zh-CN"/>
        </w:rPr>
        <w:t xml:space="preserve">No changed for </w:t>
      </w:r>
      <w:r>
        <w:rPr>
          <w:rFonts w:hint="eastAsia" w:eastAsia="宋体"/>
          <w:b/>
          <w:bCs/>
          <w:sz w:val="20"/>
          <w:szCs w:val="22"/>
          <w:highlight w:val="none"/>
          <w:lang w:val="en-US" w:eastAsia="zh-CN"/>
        </w:rPr>
        <w:t>the spectrum emission mask and additional spurious emssion requirements, r</w:t>
      </w:r>
      <w:r>
        <w:rPr>
          <w:rFonts w:hint="eastAsia" w:eastAsia="宋体" w:cs="Times New Roman"/>
          <w:b/>
          <w:bCs/>
          <w:i w:val="0"/>
          <w:iCs w:val="0"/>
          <w:sz w:val="20"/>
          <w:szCs w:val="22"/>
          <w:highlight w:val="none"/>
          <w:lang w:val="en-US" w:eastAsia="zh-CN"/>
        </w:rPr>
        <w:t>egardless of the RF implementation architectures</w:t>
      </w:r>
      <w:r>
        <w:rPr>
          <w:rFonts w:hint="eastAsia" w:eastAsia="宋体"/>
          <w:b/>
          <w:bCs/>
          <w:sz w:val="20"/>
          <w:szCs w:val="22"/>
          <w:highlight w:val="none"/>
          <w:lang w:val="en-US" w:eastAsia="zh-CN"/>
        </w:rPr>
        <w:t xml:space="preserve">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b/>
          <w:bCs/>
          <w:sz w:val="20"/>
          <w:szCs w:val="22"/>
          <w:highlight w:val="none"/>
          <w:lang w:val="en-US" w:eastAsia="zh-CN"/>
        </w:rPr>
      </w:pPr>
      <w:r>
        <w:rPr>
          <w:rFonts w:hint="eastAsia"/>
          <w:b/>
          <w:bCs/>
          <w:sz w:val="20"/>
          <w:highlight w:val="none"/>
          <w:vertAlign w:val="baseline"/>
          <w:lang w:val="en-US" w:eastAsia="zh-CN"/>
        </w:rPr>
        <w:t xml:space="preserve">Proposal 2: </w:t>
      </w:r>
      <w:r>
        <w:rPr>
          <w:rFonts w:hint="eastAsia" w:cs="Times New Roman"/>
          <w:b/>
          <w:bCs/>
          <w:kern w:val="0"/>
          <w:sz w:val="20"/>
          <w:szCs w:val="20"/>
          <w:highlight w:val="none"/>
          <w:lang w:val="en-US" w:eastAsia="zh-CN" w:bidi="ar-SA"/>
        </w:rPr>
        <w:t xml:space="preserve">The </w:t>
      </w:r>
      <w:r>
        <w:rPr>
          <w:rFonts w:hint="eastAsia" w:eastAsia="宋体"/>
          <w:b/>
          <w:bCs/>
          <w:sz w:val="20"/>
          <w:szCs w:val="22"/>
          <w:highlight w:val="none"/>
          <w:lang w:val="en-US" w:eastAsia="zh-CN"/>
        </w:rPr>
        <w:t>UE maximum output power is</w:t>
      </w:r>
      <w:r>
        <w:rPr>
          <w:rFonts w:hint="eastAsia" w:ascii="Times New Roman" w:hAnsi="Times New Roman" w:eastAsia="MS Mincho" w:cs="Times New Roman"/>
          <w:b/>
          <w:bCs/>
          <w:sz w:val="20"/>
          <w:szCs w:val="20"/>
          <w:highlight w:val="none"/>
          <w:lang w:val="en-US" w:eastAsia="zh-CN"/>
        </w:rPr>
        <w:t xml:space="preserve"> </w:t>
      </w:r>
      <w:r>
        <w:rPr>
          <w:rFonts w:hint="eastAsia" w:ascii="Times New Roman" w:hAnsi="Times New Roman" w:eastAsia="MS Mincho" w:cs="Times New Roman"/>
          <w:b/>
          <w:bCs/>
          <w:kern w:val="0"/>
          <w:sz w:val="20"/>
          <w:szCs w:val="20"/>
          <w:highlight w:val="none"/>
          <w:lang w:val="en-US" w:eastAsia="zh-CN" w:bidi="ar-SA"/>
        </w:rPr>
        <w:t>26dBm+</w:t>
      </w:r>
      <w:r>
        <w:rPr>
          <w:rFonts w:hint="eastAsia" w:cs="Times New Roman"/>
          <w:b/>
          <w:bCs/>
          <w:kern w:val="0"/>
          <w:sz w:val="20"/>
          <w:szCs w:val="20"/>
          <w:highlight w:val="none"/>
          <w:lang w:val="en-US" w:eastAsia="zh-CN" w:bidi="ar-SA"/>
        </w:rPr>
        <w:t xml:space="preserve"> +/-2dB</w:t>
      </w:r>
      <w:r>
        <w:rPr>
          <w:rFonts w:hint="eastAsia" w:eastAsia="宋体"/>
          <w:b/>
          <w:bCs/>
          <w:sz w:val="20"/>
          <w:szCs w:val="22"/>
          <w:highlight w:val="none"/>
          <w:lang w:val="en-US" w:eastAsia="zh-CN"/>
        </w:rPr>
        <w:t>, r</w:t>
      </w:r>
      <w:r>
        <w:rPr>
          <w:rFonts w:hint="eastAsia" w:eastAsia="宋体" w:cs="Times New Roman"/>
          <w:b/>
          <w:bCs/>
          <w:i w:val="0"/>
          <w:iCs w:val="0"/>
          <w:sz w:val="20"/>
          <w:szCs w:val="22"/>
          <w:highlight w:val="none"/>
          <w:lang w:val="en-US" w:eastAsia="zh-CN"/>
        </w:rPr>
        <w:t>egardless of the RF implementation architectures</w:t>
      </w:r>
      <w:r>
        <w:rPr>
          <w:rFonts w:hint="eastAsia" w:eastAsia="宋体"/>
          <w:b/>
          <w:bCs/>
          <w:sz w:val="20"/>
          <w:szCs w:val="22"/>
          <w:highlight w:val="none"/>
          <w:lang w:val="en-US" w:eastAsia="zh-CN"/>
        </w:rPr>
        <w:t xml:space="preserve">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b/>
          <w:bCs/>
          <w:sz w:val="20"/>
          <w:szCs w:val="22"/>
          <w:highlight w:val="none"/>
          <w:lang w:val="en-US" w:eastAsia="zh-CN"/>
        </w:rPr>
      </w:pPr>
      <w:r>
        <w:rPr>
          <w:rFonts w:hint="eastAsia"/>
          <w:b/>
          <w:bCs/>
          <w:sz w:val="20"/>
          <w:highlight w:val="none"/>
          <w:vertAlign w:val="baseline"/>
          <w:lang w:val="en-US" w:eastAsia="zh-CN"/>
        </w:rPr>
        <w:t>Proposal 3: Same requirement for PC2 single carrier (i.e. ACLR=31dB) is re-used for PC2 intra-band contiguous UL CA.</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1"/>
        <w:rPr>
          <w:rFonts w:hint="default" w:ascii="Times New Roman" w:hAnsi="Times New Roman" w:eastAsia="宋体" w:cs="Times New Roman"/>
          <w:b/>
          <w:bCs/>
          <w:i w:val="0"/>
          <w:iCs w:val="0"/>
          <w:sz w:val="20"/>
          <w:szCs w:val="22"/>
          <w:highlight w:val="none"/>
          <w:lang w:val="en-US" w:eastAsia="zh-CN"/>
        </w:rPr>
      </w:pPr>
      <w:r>
        <w:rPr>
          <w:rFonts w:hint="eastAsia" w:ascii="Times New Roman" w:hAnsi="Times New Roman" w:eastAsia="宋体" w:cs="Times New Roman"/>
          <w:b/>
          <w:bCs/>
          <w:i w:val="0"/>
          <w:iCs w:val="0"/>
          <w:sz w:val="20"/>
          <w:szCs w:val="22"/>
          <w:highlight w:val="none"/>
          <w:lang w:val="en-US" w:eastAsia="zh-CN"/>
        </w:rPr>
        <w:t>2.</w:t>
      </w:r>
      <w:r>
        <w:rPr>
          <w:rFonts w:hint="eastAsia" w:eastAsia="宋体" w:cs="Times New Roman"/>
          <w:b/>
          <w:bCs/>
          <w:i w:val="0"/>
          <w:iCs w:val="0"/>
          <w:sz w:val="20"/>
          <w:szCs w:val="22"/>
          <w:highlight w:val="none"/>
          <w:lang w:val="en-US" w:eastAsia="zh-CN"/>
        </w:rPr>
        <w:t>2</w:t>
      </w:r>
      <w:r>
        <w:rPr>
          <w:rFonts w:hint="eastAsia" w:ascii="Times New Roman" w:hAnsi="Times New Roman" w:eastAsia="宋体" w:cs="Times New Roman"/>
          <w:b/>
          <w:bCs/>
          <w:i w:val="0"/>
          <w:iCs w:val="0"/>
          <w:sz w:val="20"/>
          <w:szCs w:val="22"/>
          <w:highlight w:val="none"/>
          <w:lang w:val="en-US" w:eastAsia="zh-CN"/>
        </w:rPr>
        <w:t xml:space="preserve">  SAR </w:t>
      </w:r>
      <w:r>
        <w:rPr>
          <w:rFonts w:hint="eastAsia" w:eastAsia="宋体" w:cs="Times New Roman"/>
          <w:b/>
          <w:bCs/>
          <w:i w:val="0"/>
          <w:iCs w:val="0"/>
          <w:sz w:val="20"/>
          <w:szCs w:val="22"/>
          <w:highlight w:val="none"/>
          <w:lang w:val="en-US" w:eastAsia="zh-CN"/>
        </w:rPr>
        <w:t>solution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highlight w:val="none"/>
          <w:lang w:val="en-US" w:eastAsia="zh-CN"/>
        </w:rPr>
      </w:pPr>
      <w:r>
        <w:rPr>
          <w:rFonts w:hint="eastAsia" w:ascii="Times New Roman" w:hAnsi="Times New Roman" w:eastAsia="宋体" w:cs="Times New Roman"/>
          <w:i w:val="0"/>
          <w:iCs w:val="0"/>
          <w:sz w:val="20"/>
          <w:szCs w:val="22"/>
          <w:highlight w:val="none"/>
          <w:lang w:val="en-US" w:eastAsia="zh-CN"/>
        </w:rPr>
        <w:t>Usually, there are two effective approaches to help high power UE to compliance to the SAR limits, i.e. reduce the Tx power and reduce the Tx transmission time. In 3GPP specification, the former one is known as UE-based approach, i.e. P-MPR manner, and the latter one is known as network-based approach, i.e. duty cycle, which is the PC2 UE is assumed to be capable of maintaining the PC2 power if the network setting or scheduling does not exceed the maxUplinkDutyCycle.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sz w:val="20"/>
          <w:szCs w:val="22"/>
          <w:highlight w:val="none"/>
          <w:lang w:val="en-US" w:eastAsia="zh-CN"/>
        </w:rPr>
      </w:pPr>
      <w:r>
        <w:rPr>
          <w:rFonts w:hint="eastAsia" w:ascii="Times New Roman" w:hAnsi="Times New Roman" w:eastAsia="宋体" w:cs="Times New Roman"/>
          <w:i w:val="0"/>
          <w:iCs w:val="0"/>
          <w:sz w:val="20"/>
          <w:szCs w:val="22"/>
          <w:highlight w:val="none"/>
          <w:lang w:val="en-US" w:eastAsia="zh-CN"/>
        </w:rPr>
        <w:t>Actually in RAN4, the SAR solutions for PC2</w:t>
      </w:r>
      <w:r>
        <w:rPr>
          <w:rFonts w:hint="eastAsia" w:eastAsia="宋体" w:cs="Times New Roman"/>
          <w:i w:val="0"/>
          <w:iCs w:val="0"/>
          <w:sz w:val="20"/>
          <w:szCs w:val="22"/>
          <w:highlight w:val="none"/>
          <w:lang w:val="en-US" w:eastAsia="zh-CN"/>
        </w:rPr>
        <w:t xml:space="preserve"> related topics</w:t>
      </w:r>
      <w:r>
        <w:rPr>
          <w:rFonts w:hint="eastAsia" w:ascii="Times New Roman" w:hAnsi="Times New Roman" w:eastAsia="宋体" w:cs="Times New Roman"/>
          <w:i w:val="0"/>
          <w:iCs w:val="0"/>
          <w:sz w:val="20"/>
          <w:szCs w:val="22"/>
          <w:highlight w:val="none"/>
          <w:lang w:val="en-US" w:eastAsia="zh-CN"/>
        </w:rPr>
        <w:t xml:space="preserve"> </w:t>
      </w:r>
      <w:r>
        <w:rPr>
          <w:rFonts w:hint="eastAsia" w:eastAsia="宋体" w:cs="Times New Roman"/>
          <w:i w:val="0"/>
          <w:iCs w:val="0"/>
          <w:sz w:val="20"/>
          <w:szCs w:val="22"/>
          <w:highlight w:val="none"/>
          <w:lang w:val="en-US" w:eastAsia="zh-CN"/>
        </w:rPr>
        <w:t>such as</w:t>
      </w:r>
      <w:r>
        <w:rPr>
          <w:rFonts w:hint="eastAsia" w:ascii="Times New Roman" w:hAnsi="Times New Roman" w:eastAsia="宋体" w:cs="Times New Roman"/>
          <w:i w:val="0"/>
          <w:iCs w:val="0"/>
          <w:sz w:val="20"/>
          <w:szCs w:val="22"/>
          <w:highlight w:val="none"/>
          <w:lang w:val="en-US" w:eastAsia="zh-CN"/>
        </w:rPr>
        <w:t xml:space="preserve">  PC2 </w:t>
      </w:r>
      <w:r>
        <w:rPr>
          <w:rFonts w:hint="eastAsia" w:eastAsia="宋体" w:cs="Times New Roman"/>
          <w:i w:val="0"/>
          <w:iCs w:val="0"/>
          <w:sz w:val="20"/>
          <w:szCs w:val="22"/>
          <w:highlight w:val="none"/>
          <w:lang w:val="en-US" w:eastAsia="zh-CN"/>
        </w:rPr>
        <w:t xml:space="preserve">TDD </w:t>
      </w:r>
      <w:r>
        <w:rPr>
          <w:rFonts w:hint="eastAsia" w:ascii="Times New Roman" w:hAnsi="Times New Roman" w:eastAsia="宋体" w:cs="Times New Roman"/>
          <w:i w:val="0"/>
          <w:iCs w:val="0"/>
          <w:sz w:val="20"/>
          <w:szCs w:val="22"/>
          <w:highlight w:val="none"/>
          <w:lang w:val="en-US" w:eastAsia="zh-CN"/>
        </w:rPr>
        <w:t>single carrier, PC2 intra-band/inter-band ENDC</w:t>
      </w:r>
      <w:r>
        <w:rPr>
          <w:rFonts w:hint="eastAsia" w:eastAsia="宋体" w:cs="Times New Roman"/>
          <w:i w:val="0"/>
          <w:iCs w:val="0"/>
          <w:sz w:val="20"/>
          <w:szCs w:val="22"/>
          <w:highlight w:val="none"/>
          <w:lang w:val="en-US" w:eastAsia="zh-CN"/>
        </w:rPr>
        <w:t xml:space="preserve"> </w:t>
      </w:r>
      <w:r>
        <w:rPr>
          <w:rFonts w:hint="eastAsia" w:ascii="Times New Roman" w:hAnsi="Times New Roman" w:eastAsia="宋体" w:cs="Times New Roman"/>
          <w:i w:val="0"/>
          <w:iCs w:val="0"/>
          <w:sz w:val="20"/>
          <w:szCs w:val="22"/>
          <w:highlight w:val="none"/>
          <w:lang w:val="en-US" w:eastAsia="zh-CN"/>
        </w:rPr>
        <w:t xml:space="preserve">have been discussed for a long time. </w:t>
      </w:r>
      <w:r>
        <w:rPr>
          <w:rFonts w:hint="eastAsia" w:eastAsia="宋体" w:cs="Times New Roman"/>
          <w:i w:val="0"/>
          <w:iCs w:val="0"/>
          <w:sz w:val="20"/>
          <w:szCs w:val="22"/>
          <w:highlight w:val="none"/>
          <w:lang w:val="en-US" w:eastAsia="zh-CN"/>
        </w:rPr>
        <w:t>In these PC2 related topics, the duty cycle</w:t>
      </w:r>
      <w:r>
        <w:rPr>
          <w:rFonts w:hint="eastAsia" w:ascii="Times New Roman" w:hAnsi="Times New Roman" w:eastAsia="宋体" w:cs="Times New Roman"/>
          <w:i w:val="0"/>
          <w:iCs w:val="0"/>
          <w:sz w:val="20"/>
          <w:szCs w:val="22"/>
          <w:highlight w:val="none"/>
          <w:lang w:val="en-US" w:eastAsia="zh-CN"/>
        </w:rPr>
        <w:t xml:space="preserve"> solution</w:t>
      </w:r>
      <w:r>
        <w:rPr>
          <w:rFonts w:hint="eastAsia" w:eastAsia="宋体" w:cs="Times New Roman"/>
          <w:i w:val="0"/>
          <w:iCs w:val="0"/>
          <w:sz w:val="20"/>
          <w:szCs w:val="22"/>
          <w:highlight w:val="none"/>
          <w:lang w:val="en-US" w:eastAsia="zh-CN"/>
        </w:rPr>
        <w:t xml:space="preserve"> are introduced as one</w:t>
      </w:r>
      <w:r>
        <w:rPr>
          <w:rFonts w:hint="eastAsia" w:ascii="Times New Roman" w:hAnsi="Times New Roman" w:eastAsia="宋体" w:cs="Times New Roman"/>
          <w:i w:val="0"/>
          <w:iCs w:val="0"/>
          <w:sz w:val="20"/>
          <w:szCs w:val="22"/>
          <w:highlight w:val="none"/>
          <w:lang w:val="en-US" w:eastAsia="zh-CN"/>
        </w:rPr>
        <w:t xml:space="preserve"> enhanced SAR solution on top of the based P-MPR scheme. So for PC2 int</w:t>
      </w:r>
      <w:r>
        <w:rPr>
          <w:rFonts w:hint="eastAsia" w:eastAsia="宋体" w:cs="Times New Roman"/>
          <w:i w:val="0"/>
          <w:iCs w:val="0"/>
          <w:sz w:val="20"/>
          <w:szCs w:val="22"/>
          <w:highlight w:val="none"/>
          <w:lang w:val="en-US" w:eastAsia="zh-CN"/>
        </w:rPr>
        <w:t>ra</w:t>
      </w:r>
      <w:r>
        <w:rPr>
          <w:rFonts w:hint="eastAsia" w:ascii="Times New Roman" w:hAnsi="Times New Roman" w:eastAsia="宋体" w:cs="Times New Roman"/>
          <w:i w:val="0"/>
          <w:iCs w:val="0"/>
          <w:sz w:val="20"/>
          <w:szCs w:val="22"/>
          <w:highlight w:val="none"/>
          <w:lang w:val="en-US" w:eastAsia="zh-CN"/>
        </w:rPr>
        <w:t xml:space="preserve">-band NR CA, as it is already stated in the WF, the P-MPR can be used as the based solution to ensure </w:t>
      </w:r>
      <w:r>
        <w:rPr>
          <w:rFonts w:hint="eastAsia" w:eastAsia="宋体"/>
          <w:sz w:val="20"/>
          <w:szCs w:val="22"/>
          <w:highlight w:val="none"/>
          <w:lang w:val="en-US" w:eastAsia="zh-CN"/>
        </w:rPr>
        <w:t>compliance with applicable electromagnetic energy absorption requirements in case of proximity detection is used to address such requirements that require a lower maximum output power.</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b/>
          <w:bCs/>
          <w:sz w:val="20"/>
          <w:szCs w:val="22"/>
          <w:highlight w:val="none"/>
          <w:lang w:val="en-US" w:eastAsia="zh-CN"/>
        </w:rPr>
      </w:pPr>
      <w:r>
        <w:rPr>
          <w:rFonts w:hint="eastAsia" w:eastAsia="宋体"/>
          <w:b/>
          <w:bCs/>
          <w:sz w:val="20"/>
          <w:szCs w:val="22"/>
          <w:highlight w:val="none"/>
          <w:lang w:val="en-US" w:eastAsia="zh-CN"/>
        </w:rPr>
        <w:t xml:space="preserve">Observation 2: P-MPR solution can be used as basedline SAR solution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sz w:val="20"/>
          <w:szCs w:val="22"/>
          <w:highlight w:val="none"/>
          <w:lang w:val="en-US" w:eastAsia="zh-CN"/>
        </w:rPr>
      </w:pPr>
      <w:r>
        <w:rPr>
          <w:rFonts w:hint="eastAsia" w:eastAsia="宋体" w:cs="Times New Roman"/>
          <w:i w:val="0"/>
          <w:iCs w:val="0"/>
          <w:sz w:val="20"/>
          <w:szCs w:val="22"/>
          <w:highlight w:val="none"/>
          <w:lang w:val="en-US" w:eastAsia="zh-CN"/>
        </w:rPr>
        <w:t xml:space="preserve">Besides the P-MPR based solution, for the duty cycle reporting </w:t>
      </w:r>
      <w:r>
        <w:rPr>
          <w:rFonts w:hint="eastAsia" w:ascii="Times New Roman" w:hAnsi="Times New Roman" w:eastAsia="宋体" w:cs="Times New Roman"/>
          <w:i w:val="0"/>
          <w:iCs w:val="0"/>
          <w:sz w:val="20"/>
          <w:szCs w:val="22"/>
          <w:highlight w:val="none"/>
          <w:lang w:val="en-US" w:eastAsia="zh-CN"/>
        </w:rPr>
        <w:t xml:space="preserve">for the PC2 </w:t>
      </w:r>
      <w:r>
        <w:rPr>
          <w:rFonts w:hint="eastAsia" w:eastAsia="宋体" w:cs="Times New Roman"/>
          <w:i w:val="0"/>
          <w:iCs w:val="0"/>
          <w:sz w:val="20"/>
          <w:szCs w:val="22"/>
          <w:highlight w:val="none"/>
          <w:lang w:val="en-US" w:eastAsia="zh-CN"/>
        </w:rPr>
        <w:t>intra-band contiguous UL CA</w:t>
      </w:r>
      <w:r>
        <w:rPr>
          <w:rFonts w:hint="eastAsia" w:ascii="Times New Roman" w:hAnsi="Times New Roman" w:eastAsia="宋体" w:cs="Times New Roman"/>
          <w:i w:val="0"/>
          <w:iCs w:val="0"/>
          <w:sz w:val="20"/>
          <w:szCs w:val="22"/>
          <w:highlight w:val="none"/>
          <w:lang w:val="en-US" w:eastAsia="zh-CN"/>
        </w:rPr>
        <w:t xml:space="preserve"> SAR solution</w:t>
      </w:r>
      <w:r>
        <w:rPr>
          <w:rFonts w:hint="eastAsia" w:eastAsia="宋体" w:cs="Times New Roman"/>
          <w:i w:val="0"/>
          <w:iCs w:val="0"/>
          <w:sz w:val="20"/>
          <w:szCs w:val="22"/>
          <w:highlight w:val="none"/>
          <w:lang w:val="en-US" w:eastAsia="zh-CN"/>
        </w:rPr>
        <w:t>, a feasible way</w:t>
      </w:r>
      <w:r>
        <w:rPr>
          <w:rFonts w:hint="eastAsia" w:ascii="Times New Roman" w:hAnsi="Times New Roman" w:eastAsia="宋体" w:cs="Times New Roman"/>
          <w:i w:val="0"/>
          <w:iCs w:val="0"/>
          <w:sz w:val="20"/>
          <w:szCs w:val="22"/>
          <w:highlight w:val="none"/>
          <w:lang w:val="en-US" w:eastAsia="zh-CN"/>
        </w:rPr>
        <w:t xml:space="preserve"> is </w:t>
      </w:r>
      <w:r>
        <w:rPr>
          <w:rFonts w:hint="eastAsia" w:eastAsia="宋体" w:cs="Times New Roman"/>
          <w:i w:val="0"/>
          <w:iCs w:val="0"/>
          <w:sz w:val="20"/>
          <w:szCs w:val="22"/>
          <w:highlight w:val="none"/>
          <w:lang w:val="en-US" w:eastAsia="zh-CN"/>
        </w:rPr>
        <w:t xml:space="preserve">to </w:t>
      </w:r>
      <w:r>
        <w:rPr>
          <w:rFonts w:hint="eastAsia" w:ascii="Times New Roman" w:hAnsi="Times New Roman" w:eastAsia="宋体" w:cs="Times New Roman"/>
          <w:i w:val="0"/>
          <w:iCs w:val="0"/>
          <w:sz w:val="20"/>
          <w:szCs w:val="22"/>
          <w:highlight w:val="none"/>
          <w:lang w:val="en-US" w:eastAsia="zh-CN"/>
        </w:rPr>
        <w:t xml:space="preserve">refer to the </w:t>
      </w:r>
      <w:r>
        <w:rPr>
          <w:rFonts w:hint="eastAsia" w:eastAsia="宋体" w:cs="Times New Roman"/>
          <w:i w:val="0"/>
          <w:iCs w:val="0"/>
          <w:sz w:val="20"/>
          <w:szCs w:val="22"/>
          <w:highlight w:val="none"/>
          <w:lang w:val="en-US" w:eastAsia="zh-CN"/>
        </w:rPr>
        <w:t xml:space="preserve">similar </w:t>
      </w:r>
      <w:r>
        <w:rPr>
          <w:rFonts w:hint="eastAsia" w:ascii="Times New Roman" w:hAnsi="Times New Roman" w:eastAsia="宋体" w:cs="Times New Roman"/>
          <w:i w:val="0"/>
          <w:iCs w:val="0"/>
          <w:sz w:val="20"/>
          <w:szCs w:val="22"/>
          <w:highlight w:val="none"/>
          <w:lang w:val="en-US" w:eastAsia="zh-CN"/>
        </w:rPr>
        <w:t>approach of PC2 int</w:t>
      </w:r>
      <w:r>
        <w:rPr>
          <w:rFonts w:hint="eastAsia" w:eastAsia="宋体" w:cs="Times New Roman"/>
          <w:i w:val="0"/>
          <w:iCs w:val="0"/>
          <w:sz w:val="20"/>
          <w:szCs w:val="22"/>
          <w:highlight w:val="none"/>
          <w:lang w:val="en-US" w:eastAsia="zh-CN"/>
        </w:rPr>
        <w:t>ra</w:t>
      </w:r>
      <w:r>
        <w:rPr>
          <w:rFonts w:hint="eastAsia" w:ascii="Times New Roman" w:hAnsi="Times New Roman" w:eastAsia="宋体" w:cs="Times New Roman"/>
          <w:i w:val="0"/>
          <w:iCs w:val="0"/>
          <w:sz w:val="20"/>
          <w:szCs w:val="22"/>
          <w:highlight w:val="none"/>
          <w:lang w:val="en-US" w:eastAsia="zh-CN"/>
        </w:rPr>
        <w:t>-band ENDC</w:t>
      </w:r>
      <w:r>
        <w:rPr>
          <w:rFonts w:hint="eastAsia" w:eastAsia="宋体" w:cs="Times New Roman"/>
          <w:i w:val="0"/>
          <w:iCs w:val="0"/>
          <w:sz w:val="20"/>
          <w:szCs w:val="22"/>
          <w:highlight w:val="none"/>
          <w:lang w:val="en-US" w:eastAsia="zh-CN"/>
        </w:rPr>
        <w:t xml:space="preserve">, where for PC2 intra-band ENDC, the duty cycle solution is based on E-UTRA </w:t>
      </w:r>
      <w:r>
        <w:rPr>
          <w:rFonts w:hint="eastAsia" w:eastAsia="宋体" w:cs="Times New Roman"/>
          <w:sz w:val="20"/>
          <w:szCs w:val="22"/>
          <w:highlight w:val="none"/>
          <w:lang w:val="en-US" w:eastAsia="zh-CN"/>
        </w:rPr>
        <w:t>(i.e. MCG)</w:t>
      </w:r>
      <w:r>
        <w:rPr>
          <w:rFonts w:hint="eastAsia" w:eastAsia="宋体" w:cs="Times New Roman"/>
          <w:i w:val="0"/>
          <w:iCs w:val="0"/>
          <w:sz w:val="20"/>
          <w:szCs w:val="22"/>
          <w:highlight w:val="none"/>
          <w:lang w:val="en-US" w:eastAsia="zh-CN"/>
        </w:rPr>
        <w:t xml:space="preserve"> TDD UL/DL configurations such as 0/6. Therefore, f</w:t>
      </w:r>
      <w:r>
        <w:rPr>
          <w:rFonts w:hint="eastAsia" w:ascii="Times New Roman" w:hAnsi="Times New Roman" w:eastAsia="宋体" w:cs="Times New Roman"/>
          <w:i w:val="0"/>
          <w:iCs w:val="0"/>
          <w:sz w:val="20"/>
          <w:szCs w:val="22"/>
          <w:highlight w:val="none"/>
          <w:lang w:val="en-US" w:eastAsia="zh-CN"/>
        </w:rPr>
        <w:t>or PC2 inter-band NR CA</w:t>
      </w:r>
      <w:r>
        <w:rPr>
          <w:rFonts w:hint="eastAsia" w:eastAsia="宋体" w:cs="Times New Roman"/>
          <w:i w:val="0"/>
          <w:iCs w:val="0"/>
          <w:sz w:val="20"/>
          <w:szCs w:val="22"/>
          <w:highlight w:val="none"/>
          <w:lang w:val="en-US" w:eastAsia="zh-CN"/>
        </w:rPr>
        <w:t xml:space="preserve">, in order to adopt </w:t>
      </w:r>
      <w:r>
        <w:rPr>
          <w:rFonts w:hint="eastAsia" w:ascii="Times New Roman" w:hAnsi="Times New Roman" w:eastAsia="宋体" w:cs="Times New Roman"/>
          <w:i w:val="0"/>
          <w:iCs w:val="0"/>
          <w:sz w:val="20"/>
          <w:szCs w:val="22"/>
          <w:highlight w:val="none"/>
          <w:lang w:val="en-US" w:eastAsia="zh-CN"/>
        </w:rPr>
        <w:t xml:space="preserve">the </w:t>
      </w:r>
      <w:r>
        <w:rPr>
          <w:rFonts w:hint="eastAsia" w:eastAsia="宋体" w:cs="Times New Roman"/>
          <w:i w:val="0"/>
          <w:iCs w:val="0"/>
          <w:sz w:val="20"/>
          <w:szCs w:val="22"/>
          <w:highlight w:val="none"/>
          <w:lang w:val="en-US" w:eastAsia="zh-CN"/>
        </w:rPr>
        <w:t xml:space="preserve">similar </w:t>
      </w:r>
      <w:r>
        <w:rPr>
          <w:rFonts w:hint="eastAsia" w:ascii="Times New Roman" w:hAnsi="Times New Roman" w:eastAsia="宋体" w:cs="Times New Roman"/>
          <w:i w:val="0"/>
          <w:iCs w:val="0"/>
          <w:sz w:val="20"/>
          <w:szCs w:val="22"/>
          <w:highlight w:val="none"/>
          <w:lang w:val="en-US" w:eastAsia="zh-CN"/>
        </w:rPr>
        <w:t>approach of PC2 inter-band ENDC</w:t>
      </w:r>
      <w:r>
        <w:rPr>
          <w:rFonts w:hint="eastAsia" w:eastAsia="宋体" w:cs="Times New Roman"/>
          <w:i w:val="0"/>
          <w:iCs w:val="0"/>
          <w:sz w:val="20"/>
          <w:szCs w:val="22"/>
          <w:highlight w:val="none"/>
          <w:lang w:val="en-US" w:eastAsia="zh-CN"/>
        </w:rPr>
        <w:t xml:space="preserve"> as much as possible.</w:t>
      </w:r>
      <w:r>
        <w:rPr>
          <w:rFonts w:hint="eastAsia" w:eastAsia="宋体" w:cs="Times New Roman"/>
          <w:sz w:val="20"/>
          <w:szCs w:val="22"/>
          <w:highlight w:val="none"/>
          <w:lang w:val="en-US" w:eastAsia="zh-CN"/>
        </w:rPr>
        <w:t xml:space="preserve"> However, unlike E-UTRA band, </w:t>
      </w:r>
      <w:r>
        <w:rPr>
          <w:rFonts w:hint="eastAsia" w:ascii="Times New Roman" w:hAnsi="Times New Roman" w:eastAsia="宋体" w:cs="Times New Roman"/>
          <w:i w:val="0"/>
          <w:iCs w:val="0"/>
          <w:sz w:val="20"/>
          <w:szCs w:val="22"/>
          <w:highlight w:val="none"/>
          <w:lang w:val="en-US" w:eastAsia="zh-CN"/>
        </w:rPr>
        <w:t>NR TDD frame structures are different with LTE TDD</w:t>
      </w:r>
      <w:r>
        <w:rPr>
          <w:rFonts w:hint="eastAsia" w:eastAsia="宋体" w:cs="Times New Roman"/>
          <w:i w:val="0"/>
          <w:iCs w:val="0"/>
          <w:sz w:val="20"/>
          <w:szCs w:val="22"/>
          <w:highlight w:val="none"/>
          <w:lang w:val="en-US" w:eastAsia="zh-CN"/>
        </w:rPr>
        <w:t xml:space="preserve">, </w:t>
      </w:r>
      <w:r>
        <w:rPr>
          <w:rFonts w:hint="eastAsia" w:ascii="Times New Roman" w:hAnsi="Times New Roman" w:eastAsia="宋体" w:cs="Times New Roman"/>
          <w:sz w:val="20"/>
          <w:szCs w:val="22"/>
          <w:highlight w:val="none"/>
          <w:lang w:val="en-US" w:eastAsia="zh-CN"/>
        </w:rPr>
        <w:t xml:space="preserve">where flexible slot </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X</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is introduced for NR TDD, and </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X</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can be </w:t>
      </w:r>
      <w:r>
        <w:rPr>
          <w:rFonts w:hint="eastAsia" w:eastAsia="宋体" w:cs="Times New Roman"/>
          <w:sz w:val="20"/>
          <w:szCs w:val="22"/>
          <w:highlight w:val="none"/>
          <w:lang w:val="en-US" w:eastAsia="zh-CN"/>
        </w:rPr>
        <w:t xml:space="preserve">configured </w:t>
      </w:r>
      <w:r>
        <w:rPr>
          <w:rFonts w:hint="eastAsia" w:ascii="Times New Roman" w:hAnsi="Times New Roman" w:eastAsia="宋体" w:cs="Times New Roman"/>
          <w:sz w:val="20"/>
          <w:szCs w:val="22"/>
          <w:highlight w:val="none"/>
          <w:lang w:val="en-US" w:eastAsia="zh-CN"/>
        </w:rPr>
        <w:t xml:space="preserve">as </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D</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or </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U</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 which means there are more than 7 UL/DL configurations for NR TDD band.</w:t>
      </w:r>
      <w:r>
        <w:rPr>
          <w:rFonts w:hint="eastAsia" w:eastAsia="宋体" w:cs="Times New Roman"/>
          <w:sz w:val="20"/>
          <w:szCs w:val="22"/>
          <w:highlight w:val="none"/>
          <w:lang w:val="en-US" w:eastAsia="zh-CN"/>
        </w:rPr>
        <w:t xml:space="preserve"> So </w:t>
      </w:r>
      <w:r>
        <w:rPr>
          <w:rFonts w:hint="eastAsia" w:eastAsia="宋体" w:cs="Times New Roman"/>
          <w:i w:val="0"/>
          <w:iCs w:val="0"/>
          <w:sz w:val="20"/>
          <w:szCs w:val="22"/>
          <w:highlight w:val="none"/>
          <w:lang w:val="en-US" w:eastAsia="zh-CN"/>
        </w:rPr>
        <w:t xml:space="preserve">it is proposed to report both total </w:t>
      </w:r>
      <w:r>
        <w:rPr>
          <w:rFonts w:hint="eastAsia" w:eastAsia="宋体" w:cs="Times New Roman"/>
          <w:sz w:val="20"/>
          <w:szCs w:val="22"/>
          <w:highlight w:val="none"/>
          <w:lang w:val="en-US" w:eastAsia="zh-CN"/>
        </w:rPr>
        <w:t>duty cycle capability and duty cycle of PCell NR band.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i w:val="0"/>
          <w:iCs w:val="0"/>
          <w:sz w:val="20"/>
          <w:szCs w:val="22"/>
          <w:highlight w:val="none"/>
          <w:lang w:val="en-US" w:eastAsia="zh-CN"/>
        </w:rPr>
      </w:pPr>
      <w:r>
        <w:rPr>
          <w:rFonts w:hint="eastAsia" w:eastAsia="宋体" w:cs="Times New Roman"/>
          <w:b/>
          <w:bCs/>
          <w:sz w:val="20"/>
          <w:szCs w:val="22"/>
          <w:highlight w:val="none"/>
          <w:lang w:val="en-US" w:eastAsia="zh-CN"/>
        </w:rPr>
        <w:t>Proposal 4. For duty cycle based solutions, report duty cycle of PCell.</w:t>
      </w:r>
      <w:r>
        <w:rPr>
          <w:rFonts w:hint="eastAsia" w:ascii="Times New Roman" w:hAnsi="Times New Roman" w:eastAsia="宋体" w:cs="Times New Roman"/>
          <w:b/>
          <w:bCs/>
          <w:i w:val="0"/>
          <w:iCs w:val="0"/>
          <w:sz w:val="20"/>
          <w:szCs w:val="22"/>
          <w:highlight w:val="none"/>
          <w:lang w:val="en-US" w:eastAsia="zh-CN"/>
        </w:rPr>
        <w:t xml:space="preserve">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Cs/>
          <w:sz w:val="20"/>
          <w:highlight w:val="none"/>
          <w:lang w:eastAsia="zh-CN"/>
        </w:rPr>
      </w:pPr>
      <w:r>
        <w:rPr>
          <w:rFonts w:hint="eastAsia"/>
          <w:b/>
          <w:bCs/>
          <w:sz w:val="20"/>
          <w:highlight w:val="none"/>
          <w:vertAlign w:val="baseline"/>
          <w:lang w:val="en-US" w:eastAsia="zh-CN"/>
        </w:rPr>
        <w:t xml:space="preserve">Proposal 5: </w:t>
      </w:r>
      <w:r>
        <w:rPr>
          <w:rFonts w:hint="default" w:ascii="Times New Roman" w:hAnsi="Times New Roman" w:eastAsia="宋体" w:cs="Times New Roman"/>
          <w:b/>
          <w:bCs/>
          <w:kern w:val="2"/>
          <w:sz w:val="20"/>
          <w:szCs w:val="20"/>
          <w:highlight w:val="none"/>
          <w:lang w:val="en-US" w:eastAsia="zh-CN" w:bidi="ar-SA"/>
        </w:rPr>
        <w:t xml:space="preserve">A new </w:t>
      </w:r>
      <w:r>
        <w:rPr>
          <w:rFonts w:hint="default" w:ascii="Times New Roman" w:hAnsi="Times New Roman" w:eastAsia="宋体" w:cs="Times New Roman"/>
          <w:b/>
          <w:bCs/>
          <w:sz w:val="20"/>
          <w:szCs w:val="20"/>
          <w:highlight w:val="none"/>
          <w:lang w:val="en-US" w:eastAsia="zh-CN"/>
        </w:rPr>
        <w:t xml:space="preserve">parameter i.e </w:t>
      </w:r>
      <w:r>
        <w:rPr>
          <w:b/>
          <w:bCs/>
          <w:sz w:val="20"/>
          <w:highlight w:val="none"/>
          <w:lang w:eastAsia="zh-CN"/>
        </w:rPr>
        <w:t>ΔP</w:t>
      </w:r>
      <w:r>
        <w:rPr>
          <w:b/>
          <w:bCs/>
          <w:sz w:val="20"/>
          <w:highlight w:val="none"/>
          <w:vertAlign w:val="subscript"/>
          <w:lang w:eastAsia="zh-CN"/>
        </w:rPr>
        <w:t>PowerClass</w:t>
      </w:r>
      <w:r>
        <w:rPr>
          <w:rFonts w:hint="eastAsia"/>
          <w:b/>
          <w:bCs/>
          <w:sz w:val="20"/>
          <w:highlight w:val="none"/>
          <w:vertAlign w:val="subscript"/>
          <w:lang w:val="en-US" w:eastAsia="zh-CN"/>
        </w:rPr>
        <w:t xml:space="preserve">  </w:t>
      </w:r>
      <w:r>
        <w:rPr>
          <w:rFonts w:hint="eastAsia" w:ascii="Times New Roman" w:hAnsi="Times New Roman" w:eastAsia="宋体" w:cs="Times New Roman"/>
          <w:b/>
          <w:bCs/>
          <w:sz w:val="20"/>
          <w:szCs w:val="20"/>
          <w:highlight w:val="none"/>
          <w:lang w:val="en-US" w:eastAsia="zh-CN"/>
        </w:rPr>
        <w:t>need</w:t>
      </w:r>
      <w:r>
        <w:rPr>
          <w:rFonts w:hint="eastAsia" w:eastAsia="宋体" w:cs="Times New Roman"/>
          <w:b/>
          <w:bCs/>
          <w:sz w:val="20"/>
          <w:szCs w:val="20"/>
          <w:highlight w:val="none"/>
          <w:lang w:val="en-US" w:eastAsia="zh-CN"/>
        </w:rPr>
        <w:t>s</w:t>
      </w:r>
      <w:r>
        <w:rPr>
          <w:rFonts w:hint="eastAsia" w:ascii="Times New Roman" w:hAnsi="Times New Roman" w:eastAsia="宋体" w:cs="Times New Roman"/>
          <w:b/>
          <w:bCs/>
          <w:sz w:val="20"/>
          <w:szCs w:val="20"/>
          <w:highlight w:val="none"/>
          <w:lang w:val="en-US" w:eastAsia="zh-CN"/>
        </w:rPr>
        <w:t xml:space="preserve"> to be introduced on top of the currently PC3 </w:t>
      </w:r>
      <w:r>
        <w:rPr>
          <w:rFonts w:cs="Vrinda"/>
          <w:b/>
          <w:bCs/>
          <w:sz w:val="20"/>
          <w:highlight w:val="none"/>
          <w:lang w:bidi="bn-IN"/>
        </w:rPr>
        <w:t>P</w:t>
      </w:r>
      <w:r>
        <w:rPr>
          <w:rFonts w:cs="Vrinda"/>
          <w:b/>
          <w:bCs/>
          <w:sz w:val="20"/>
          <w:highlight w:val="none"/>
          <w:vertAlign w:val="subscript"/>
          <w:lang w:bidi="bn-IN"/>
        </w:rPr>
        <w:t>CMAX_L</w:t>
      </w:r>
      <w:r>
        <w:rPr>
          <w:rFonts w:hint="eastAsia" w:eastAsia="宋体" w:cs="Vrinda"/>
          <w:b/>
          <w:bCs/>
          <w:highlight w:val="none"/>
          <w:vertAlign w:val="subscript"/>
          <w:lang w:val="en-US" w:eastAsia="zh-CN" w:bidi="bn-IN"/>
        </w:rPr>
        <w:t xml:space="preserve"> </w:t>
      </w:r>
      <w:r>
        <w:rPr>
          <w:rFonts w:hint="eastAsia" w:ascii="Times New Roman" w:hAnsi="Times New Roman" w:eastAsia="宋体" w:cs="Times New Roman"/>
          <w:b/>
          <w:bCs/>
          <w:sz w:val="20"/>
          <w:szCs w:val="20"/>
          <w:highlight w:val="none"/>
          <w:lang w:val="en-US" w:eastAsia="zh-CN"/>
        </w:rPr>
        <w:t>equations</w:t>
      </w:r>
      <w:r>
        <w:rPr>
          <w:rFonts w:hint="eastAsia" w:eastAsia="宋体" w:cs="Times New Roman"/>
          <w:b/>
          <w:bCs/>
          <w:sz w:val="20"/>
          <w:szCs w:val="20"/>
          <w:highlight w:val="none"/>
          <w:lang w:val="en-US" w:eastAsia="zh-CN"/>
        </w:rPr>
        <w:t xml:space="preserve"> in case of the duty cycle solution is identified.</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highlight w:val="none"/>
          <w:lang w:val="en-US" w:eastAsia="zh-CN"/>
        </w:rPr>
      </w:pPr>
      <w:r>
        <w:rPr>
          <w:rFonts w:hint="eastAsia" w:ascii="Arial" w:hAnsi="Arial" w:eastAsia="宋体" w:cs="Arial"/>
          <w:b/>
          <w:sz w:val="28"/>
          <w:szCs w:val="24"/>
          <w:highlight w:val="none"/>
          <w:lang w:val="en-US" w:eastAsia="zh-CN"/>
        </w:rPr>
        <w:t>3</w:t>
      </w:r>
      <w:r>
        <w:rPr>
          <w:rFonts w:hint="default" w:ascii="Arial" w:hAnsi="Arial" w:eastAsia="宋体" w:cs="Arial"/>
          <w:b/>
          <w:sz w:val="28"/>
          <w:szCs w:val="24"/>
          <w:highlight w:val="none"/>
          <w:lang w:val="en-US" w:eastAsia="zh-CN"/>
        </w:rPr>
        <w:tab/>
      </w:r>
      <w:r>
        <w:rPr>
          <w:rFonts w:hint="eastAsia" w:ascii="Arial" w:hAnsi="Arial" w:eastAsia="宋体" w:cs="Arial"/>
          <w:b/>
          <w:sz w:val="28"/>
          <w:szCs w:val="24"/>
          <w:highlight w:val="none"/>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highlight w:val="none"/>
          <w:lang w:val="en-US" w:eastAsia="zh-CN"/>
        </w:rPr>
      </w:pPr>
      <w:r>
        <w:rPr>
          <w:rFonts w:hint="eastAsia" w:ascii="Times New Roman" w:hAnsi="Times New Roman" w:eastAsia="宋体" w:cs="Times New Roman"/>
          <w:sz w:val="20"/>
          <w:szCs w:val="22"/>
          <w:highlight w:val="none"/>
          <w:lang w:val="en-US" w:eastAsia="zh-CN"/>
        </w:rPr>
        <w:t xml:space="preserve">In this paper,  we give some </w:t>
      </w:r>
      <w:r>
        <w:rPr>
          <w:rFonts w:hint="eastAsia" w:eastAsia="宋体" w:cs="Times New Roman"/>
          <w:sz w:val="20"/>
          <w:szCs w:val="22"/>
          <w:highlight w:val="none"/>
          <w:lang w:val="en-US" w:eastAsia="zh-CN"/>
        </w:rPr>
        <w:t xml:space="preserve">initial </w:t>
      </w:r>
      <w:r>
        <w:rPr>
          <w:rFonts w:hint="eastAsia" w:ascii="Times New Roman" w:hAnsi="Times New Roman" w:eastAsia="宋体" w:cs="Times New Roman"/>
          <w:sz w:val="20"/>
          <w:szCs w:val="22"/>
          <w:highlight w:val="none"/>
          <w:lang w:val="en-US" w:eastAsia="zh-CN"/>
        </w:rPr>
        <w:t>discussion</w:t>
      </w:r>
      <w:r>
        <w:rPr>
          <w:rFonts w:hint="eastAsia" w:ascii="Times New Roman" w:hAnsi="Times New Roman" w:eastAsia="宋体" w:cs="Times New Roman"/>
          <w:i w:val="0"/>
          <w:iCs w:val="0"/>
          <w:sz w:val="20"/>
          <w:szCs w:val="22"/>
          <w:highlight w:val="none"/>
          <w:lang w:val="en-US" w:eastAsia="zh-CN"/>
        </w:rPr>
        <w:t xml:space="preserve"> on the</w:t>
      </w:r>
      <w:r>
        <w:rPr>
          <w:rFonts w:hint="eastAsia" w:eastAsia="宋体" w:cs="Times New Roman"/>
          <w:i w:val="0"/>
          <w:iCs w:val="0"/>
          <w:sz w:val="20"/>
          <w:szCs w:val="22"/>
          <w:highlight w:val="none"/>
          <w:lang w:val="en-US" w:eastAsia="zh-CN"/>
        </w:rPr>
        <w:t xml:space="preserve"> PC2</w:t>
      </w:r>
      <w:r>
        <w:rPr>
          <w:rFonts w:hint="eastAsia" w:ascii="Times New Roman" w:hAnsi="Times New Roman" w:eastAsia="宋体" w:cs="Times New Roman"/>
          <w:i w:val="0"/>
          <w:iCs w:val="0"/>
          <w:sz w:val="20"/>
          <w:szCs w:val="22"/>
          <w:highlight w:val="none"/>
          <w:lang w:val="en-US" w:eastAsia="zh-CN"/>
        </w:rPr>
        <w:t xml:space="preserve"> NR int</w:t>
      </w:r>
      <w:r>
        <w:rPr>
          <w:rFonts w:hint="eastAsia" w:eastAsia="宋体" w:cs="Times New Roman"/>
          <w:i w:val="0"/>
          <w:iCs w:val="0"/>
          <w:sz w:val="20"/>
          <w:szCs w:val="22"/>
          <w:highlight w:val="none"/>
          <w:lang w:val="en-US" w:eastAsia="zh-CN"/>
        </w:rPr>
        <w:t>ra</w:t>
      </w:r>
      <w:r>
        <w:rPr>
          <w:rFonts w:hint="eastAsia" w:ascii="Times New Roman" w:hAnsi="Times New Roman" w:eastAsia="宋体" w:cs="Times New Roman"/>
          <w:i w:val="0"/>
          <w:iCs w:val="0"/>
          <w:sz w:val="20"/>
          <w:szCs w:val="22"/>
          <w:highlight w:val="none"/>
          <w:lang w:val="en-US" w:eastAsia="zh-CN"/>
        </w:rPr>
        <w:t xml:space="preserve">-band </w:t>
      </w:r>
      <w:r>
        <w:rPr>
          <w:rFonts w:hint="eastAsia" w:eastAsia="宋体" w:cs="Times New Roman"/>
          <w:i w:val="0"/>
          <w:iCs w:val="0"/>
          <w:sz w:val="20"/>
          <w:szCs w:val="22"/>
          <w:highlight w:val="none"/>
          <w:lang w:val="en-US" w:eastAsia="zh-CN"/>
        </w:rPr>
        <w:t xml:space="preserve">UL </w:t>
      </w:r>
      <w:r>
        <w:rPr>
          <w:rFonts w:hint="eastAsia" w:ascii="Times New Roman" w:hAnsi="Times New Roman" w:eastAsia="宋体" w:cs="Times New Roman"/>
          <w:i w:val="0"/>
          <w:iCs w:val="0"/>
          <w:sz w:val="20"/>
          <w:szCs w:val="22"/>
          <w:highlight w:val="none"/>
          <w:lang w:val="en-US" w:eastAsia="zh-CN"/>
        </w:rPr>
        <w:t>CA, the conclusions are summarized as follow: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i w:val="0"/>
          <w:iCs w:val="0"/>
          <w:sz w:val="20"/>
          <w:szCs w:val="22"/>
          <w:highlight w:val="none"/>
          <w:lang w:val="en-US" w:eastAsia="zh-CN"/>
        </w:rPr>
      </w:pPr>
      <w:r>
        <w:rPr>
          <w:rFonts w:hint="eastAsia" w:eastAsia="宋体"/>
          <w:b/>
          <w:bCs/>
          <w:sz w:val="20"/>
          <w:szCs w:val="22"/>
          <w:highlight w:val="none"/>
          <w:lang w:val="en-US" w:eastAsia="zh-CN"/>
        </w:rPr>
        <w:t xml:space="preserve">Observation </w:t>
      </w:r>
      <w:r>
        <w:rPr>
          <w:rFonts w:hint="eastAsia"/>
          <w:b/>
          <w:bCs/>
          <w:sz w:val="20"/>
          <w:highlight w:val="none"/>
          <w:vertAlign w:val="baseline"/>
          <w:lang w:val="en-US" w:eastAsia="zh-CN"/>
        </w:rPr>
        <w:t xml:space="preserve">1: </w:t>
      </w:r>
      <w:r>
        <w:rPr>
          <w:rFonts w:hint="eastAsia" w:eastAsia="宋体" w:cs="Times New Roman"/>
          <w:i w:val="0"/>
          <w:iCs w:val="0"/>
          <w:sz w:val="20"/>
          <w:szCs w:val="22"/>
          <w:highlight w:val="none"/>
          <w:lang w:val="en-US" w:eastAsia="zh-CN"/>
        </w:rPr>
        <w:t xml:space="preserve"> </w:t>
      </w:r>
      <w:r>
        <w:rPr>
          <w:rFonts w:hint="eastAsia" w:eastAsia="宋体" w:cs="Times New Roman"/>
          <w:b/>
          <w:bCs/>
          <w:i w:val="0"/>
          <w:iCs w:val="0"/>
          <w:sz w:val="20"/>
          <w:szCs w:val="22"/>
          <w:highlight w:val="none"/>
          <w:lang w:val="en-US" w:eastAsia="zh-CN"/>
        </w:rPr>
        <w:t>Rx RF requirements are not impacted.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i w:val="0"/>
          <w:iCs w:val="0"/>
          <w:sz w:val="20"/>
          <w:szCs w:val="22"/>
          <w:highlight w:val="none"/>
          <w:lang w:val="en-US" w:eastAsia="zh-CN"/>
        </w:rPr>
      </w:pPr>
      <w:r>
        <w:rPr>
          <w:rFonts w:hint="eastAsia"/>
          <w:b/>
          <w:bCs/>
          <w:sz w:val="20"/>
          <w:highlight w:val="none"/>
          <w:vertAlign w:val="baseline"/>
          <w:lang w:val="en-US" w:eastAsia="zh-CN"/>
        </w:rPr>
        <w:t xml:space="preserve">Proposal 1: </w:t>
      </w:r>
      <w:r>
        <w:rPr>
          <w:rFonts w:hint="eastAsia" w:eastAsia="宋体" w:cs="Times New Roman"/>
          <w:b/>
          <w:bCs/>
          <w:i w:val="0"/>
          <w:iCs w:val="0"/>
          <w:sz w:val="20"/>
          <w:szCs w:val="22"/>
          <w:highlight w:val="none"/>
          <w:lang w:val="en-US" w:eastAsia="zh-CN"/>
        </w:rPr>
        <w:t xml:space="preserve">No changed for </w:t>
      </w:r>
      <w:r>
        <w:rPr>
          <w:rFonts w:hint="eastAsia" w:eastAsia="宋体"/>
          <w:b/>
          <w:bCs/>
          <w:sz w:val="20"/>
          <w:szCs w:val="22"/>
          <w:highlight w:val="none"/>
          <w:lang w:val="en-US" w:eastAsia="zh-CN"/>
        </w:rPr>
        <w:t>the spectrum emission mask and additional spurious emission requirements, r</w:t>
      </w:r>
      <w:r>
        <w:rPr>
          <w:rFonts w:hint="eastAsia" w:eastAsia="宋体" w:cs="Times New Roman"/>
          <w:b/>
          <w:bCs/>
          <w:i w:val="0"/>
          <w:iCs w:val="0"/>
          <w:sz w:val="20"/>
          <w:szCs w:val="22"/>
          <w:highlight w:val="none"/>
          <w:lang w:val="en-US" w:eastAsia="zh-CN"/>
        </w:rPr>
        <w:t>egardless of the RF implementation architectures</w:t>
      </w:r>
      <w:r>
        <w:rPr>
          <w:rFonts w:hint="eastAsia" w:eastAsia="宋体"/>
          <w:b/>
          <w:bCs/>
          <w:sz w:val="20"/>
          <w:szCs w:val="22"/>
          <w:highlight w:val="none"/>
          <w:lang w:val="en-US" w:eastAsia="zh-CN"/>
        </w:rPr>
        <w:t xml:space="preserve">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b/>
          <w:bCs/>
          <w:sz w:val="20"/>
          <w:szCs w:val="22"/>
          <w:highlight w:val="none"/>
          <w:lang w:val="en-US" w:eastAsia="zh-CN"/>
        </w:rPr>
      </w:pPr>
      <w:r>
        <w:rPr>
          <w:rFonts w:hint="eastAsia"/>
          <w:b/>
          <w:bCs/>
          <w:sz w:val="20"/>
          <w:highlight w:val="none"/>
          <w:vertAlign w:val="baseline"/>
          <w:lang w:val="en-US" w:eastAsia="zh-CN"/>
        </w:rPr>
        <w:t xml:space="preserve">Proposal 2: </w:t>
      </w:r>
      <w:r>
        <w:rPr>
          <w:rFonts w:hint="eastAsia" w:cs="Times New Roman"/>
          <w:b/>
          <w:bCs/>
          <w:kern w:val="0"/>
          <w:sz w:val="20"/>
          <w:szCs w:val="20"/>
          <w:highlight w:val="none"/>
          <w:lang w:val="en-US" w:eastAsia="zh-CN" w:bidi="ar-SA"/>
        </w:rPr>
        <w:t xml:space="preserve">The </w:t>
      </w:r>
      <w:r>
        <w:rPr>
          <w:rFonts w:hint="eastAsia" w:eastAsia="宋体"/>
          <w:b/>
          <w:bCs/>
          <w:sz w:val="20"/>
          <w:szCs w:val="22"/>
          <w:highlight w:val="none"/>
          <w:lang w:val="en-US" w:eastAsia="zh-CN"/>
        </w:rPr>
        <w:t>UE maximum output power is</w:t>
      </w:r>
      <w:r>
        <w:rPr>
          <w:rFonts w:hint="eastAsia" w:ascii="Times New Roman" w:hAnsi="Times New Roman" w:eastAsia="MS Mincho" w:cs="Times New Roman"/>
          <w:b/>
          <w:bCs/>
          <w:sz w:val="20"/>
          <w:szCs w:val="20"/>
          <w:highlight w:val="none"/>
          <w:lang w:val="en-US" w:eastAsia="zh-CN"/>
        </w:rPr>
        <w:t xml:space="preserve"> </w:t>
      </w:r>
      <w:r>
        <w:rPr>
          <w:rFonts w:hint="eastAsia" w:ascii="Times New Roman" w:hAnsi="Times New Roman" w:eastAsia="MS Mincho" w:cs="Times New Roman"/>
          <w:b/>
          <w:bCs/>
          <w:kern w:val="0"/>
          <w:sz w:val="20"/>
          <w:szCs w:val="20"/>
          <w:highlight w:val="none"/>
          <w:lang w:val="en-US" w:eastAsia="zh-CN" w:bidi="ar-SA"/>
        </w:rPr>
        <w:t>26dBm+</w:t>
      </w:r>
      <w:r>
        <w:rPr>
          <w:rFonts w:hint="eastAsia" w:cs="Times New Roman"/>
          <w:b/>
          <w:bCs/>
          <w:kern w:val="0"/>
          <w:sz w:val="20"/>
          <w:szCs w:val="20"/>
          <w:highlight w:val="none"/>
          <w:lang w:val="en-US" w:eastAsia="zh-CN" w:bidi="ar-SA"/>
        </w:rPr>
        <w:t xml:space="preserve"> +/-2dB</w:t>
      </w:r>
      <w:r>
        <w:rPr>
          <w:rFonts w:hint="eastAsia" w:eastAsia="宋体"/>
          <w:b/>
          <w:bCs/>
          <w:sz w:val="20"/>
          <w:szCs w:val="22"/>
          <w:highlight w:val="none"/>
          <w:lang w:val="en-US" w:eastAsia="zh-CN"/>
        </w:rPr>
        <w:t>, r</w:t>
      </w:r>
      <w:r>
        <w:rPr>
          <w:rFonts w:hint="eastAsia" w:eastAsia="宋体" w:cs="Times New Roman"/>
          <w:b/>
          <w:bCs/>
          <w:i w:val="0"/>
          <w:iCs w:val="0"/>
          <w:sz w:val="20"/>
          <w:szCs w:val="22"/>
          <w:highlight w:val="none"/>
          <w:lang w:val="en-US" w:eastAsia="zh-CN"/>
        </w:rPr>
        <w:t>egardless of the RF implementation architectures</w:t>
      </w:r>
      <w:r>
        <w:rPr>
          <w:rFonts w:hint="eastAsia" w:eastAsia="宋体"/>
          <w:b/>
          <w:bCs/>
          <w:sz w:val="20"/>
          <w:szCs w:val="22"/>
          <w:highlight w:val="none"/>
          <w:lang w:val="en-US" w:eastAsia="zh-CN"/>
        </w:rPr>
        <w:t xml:space="preserve">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b/>
          <w:bCs/>
          <w:sz w:val="20"/>
          <w:highlight w:val="none"/>
          <w:vertAlign w:val="baseline"/>
          <w:lang w:val="en-US" w:eastAsia="zh-CN"/>
        </w:rPr>
      </w:pPr>
      <w:r>
        <w:rPr>
          <w:rFonts w:hint="eastAsia"/>
          <w:b/>
          <w:bCs/>
          <w:sz w:val="20"/>
          <w:highlight w:val="none"/>
          <w:vertAlign w:val="baseline"/>
          <w:lang w:val="en-US" w:eastAsia="zh-CN"/>
        </w:rPr>
        <w:t>Proposal 3: Same requirement for PC2 single carrier (i.e. ACLR=31dB) is re-used for PC2 intra-band contiguous UL CA.</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b/>
          <w:bCs/>
          <w:sz w:val="20"/>
          <w:highlight w:val="none"/>
          <w:vertAlign w:val="baseline"/>
          <w:lang w:val="en-US" w:eastAsia="zh-CN"/>
        </w:rPr>
      </w:pPr>
      <w:r>
        <w:rPr>
          <w:rFonts w:hint="eastAsia" w:eastAsia="宋体"/>
          <w:b/>
          <w:bCs/>
          <w:sz w:val="20"/>
          <w:szCs w:val="22"/>
          <w:highlight w:val="none"/>
          <w:lang w:val="en-US" w:eastAsia="zh-CN"/>
        </w:rPr>
        <w:t xml:space="preserve">Observation 2: P-MPR solution can be used as basedline SAR solution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i w:val="0"/>
          <w:iCs w:val="0"/>
          <w:sz w:val="20"/>
          <w:szCs w:val="22"/>
          <w:highlight w:val="none"/>
          <w:lang w:val="en-US" w:eastAsia="zh-CN"/>
        </w:rPr>
      </w:pPr>
      <w:r>
        <w:rPr>
          <w:rFonts w:hint="eastAsia" w:eastAsia="宋体" w:cs="Times New Roman"/>
          <w:b/>
          <w:bCs/>
          <w:sz w:val="20"/>
          <w:szCs w:val="22"/>
          <w:highlight w:val="none"/>
          <w:lang w:val="en-US" w:eastAsia="zh-CN"/>
        </w:rPr>
        <w:t>Proposal 4. For duty cycle based solutions, report duty cycle of PCell.</w:t>
      </w:r>
      <w:r>
        <w:rPr>
          <w:rFonts w:hint="eastAsia" w:ascii="Times New Roman" w:hAnsi="Times New Roman" w:eastAsia="宋体" w:cs="Times New Roman"/>
          <w:b/>
          <w:bCs/>
          <w:i w:val="0"/>
          <w:iCs w:val="0"/>
          <w:sz w:val="20"/>
          <w:szCs w:val="22"/>
          <w:highlight w:val="none"/>
          <w:lang w:val="en-US" w:eastAsia="zh-CN"/>
        </w:rPr>
        <w:t xml:space="preserve">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2"/>
          <w:highlight w:val="none"/>
          <w:lang w:val="en-US" w:eastAsia="zh-CN"/>
        </w:rPr>
      </w:pPr>
      <w:r>
        <w:rPr>
          <w:rFonts w:hint="eastAsia"/>
          <w:b/>
          <w:bCs/>
          <w:sz w:val="20"/>
          <w:highlight w:val="none"/>
          <w:vertAlign w:val="baseline"/>
          <w:lang w:val="en-US" w:eastAsia="zh-CN"/>
        </w:rPr>
        <w:t xml:space="preserve">Proposal 5: </w:t>
      </w:r>
      <w:r>
        <w:rPr>
          <w:rFonts w:hint="default" w:ascii="Times New Roman" w:hAnsi="Times New Roman" w:eastAsia="宋体" w:cs="Times New Roman"/>
          <w:b/>
          <w:bCs/>
          <w:kern w:val="2"/>
          <w:sz w:val="20"/>
          <w:szCs w:val="20"/>
          <w:highlight w:val="none"/>
          <w:lang w:val="en-US" w:eastAsia="zh-CN" w:bidi="ar-SA"/>
        </w:rPr>
        <w:t xml:space="preserve">A new </w:t>
      </w:r>
      <w:r>
        <w:rPr>
          <w:rFonts w:hint="default" w:ascii="Times New Roman" w:hAnsi="Times New Roman" w:eastAsia="宋体" w:cs="Times New Roman"/>
          <w:b/>
          <w:bCs/>
          <w:sz w:val="20"/>
          <w:szCs w:val="20"/>
          <w:highlight w:val="none"/>
          <w:lang w:val="en-US" w:eastAsia="zh-CN"/>
        </w:rPr>
        <w:t xml:space="preserve">parameter i.e </w:t>
      </w:r>
      <w:r>
        <w:rPr>
          <w:b/>
          <w:bCs/>
          <w:sz w:val="20"/>
          <w:highlight w:val="none"/>
          <w:lang w:eastAsia="zh-CN"/>
        </w:rPr>
        <w:t>ΔP</w:t>
      </w:r>
      <w:r>
        <w:rPr>
          <w:b/>
          <w:bCs/>
          <w:sz w:val="20"/>
          <w:highlight w:val="none"/>
          <w:vertAlign w:val="subscript"/>
          <w:lang w:eastAsia="zh-CN"/>
        </w:rPr>
        <w:t>PowerClass</w:t>
      </w:r>
      <w:r>
        <w:rPr>
          <w:rFonts w:hint="eastAsia"/>
          <w:b/>
          <w:bCs/>
          <w:sz w:val="20"/>
          <w:highlight w:val="none"/>
          <w:vertAlign w:val="subscript"/>
          <w:lang w:val="en-US" w:eastAsia="zh-CN"/>
        </w:rPr>
        <w:t xml:space="preserve">  </w:t>
      </w:r>
      <w:r>
        <w:rPr>
          <w:rFonts w:hint="eastAsia" w:ascii="Times New Roman" w:hAnsi="Times New Roman" w:eastAsia="宋体" w:cs="Times New Roman"/>
          <w:b/>
          <w:bCs/>
          <w:sz w:val="20"/>
          <w:szCs w:val="20"/>
          <w:highlight w:val="none"/>
          <w:lang w:val="en-US" w:eastAsia="zh-CN"/>
        </w:rPr>
        <w:t>need</w:t>
      </w:r>
      <w:r>
        <w:rPr>
          <w:rFonts w:hint="eastAsia" w:eastAsia="宋体" w:cs="Times New Roman"/>
          <w:b/>
          <w:bCs/>
          <w:sz w:val="20"/>
          <w:szCs w:val="20"/>
          <w:highlight w:val="none"/>
          <w:lang w:val="en-US" w:eastAsia="zh-CN"/>
        </w:rPr>
        <w:t>s</w:t>
      </w:r>
      <w:r>
        <w:rPr>
          <w:rFonts w:hint="eastAsia" w:ascii="Times New Roman" w:hAnsi="Times New Roman" w:eastAsia="宋体" w:cs="Times New Roman"/>
          <w:b/>
          <w:bCs/>
          <w:sz w:val="20"/>
          <w:szCs w:val="20"/>
          <w:highlight w:val="none"/>
          <w:lang w:val="en-US" w:eastAsia="zh-CN"/>
        </w:rPr>
        <w:t xml:space="preserve"> to be introduced on top of the currently PC3 </w:t>
      </w:r>
      <w:r>
        <w:rPr>
          <w:rFonts w:cs="Vrinda"/>
          <w:b/>
          <w:bCs/>
          <w:sz w:val="20"/>
          <w:highlight w:val="none"/>
          <w:lang w:bidi="bn-IN"/>
        </w:rPr>
        <w:t>P</w:t>
      </w:r>
      <w:r>
        <w:rPr>
          <w:rFonts w:cs="Vrinda"/>
          <w:b/>
          <w:bCs/>
          <w:sz w:val="20"/>
          <w:highlight w:val="none"/>
          <w:vertAlign w:val="subscript"/>
          <w:lang w:bidi="bn-IN"/>
        </w:rPr>
        <w:t>CMAX_L</w:t>
      </w:r>
      <w:r>
        <w:rPr>
          <w:rFonts w:hint="eastAsia" w:eastAsia="宋体" w:cs="Vrinda"/>
          <w:b/>
          <w:bCs/>
          <w:highlight w:val="none"/>
          <w:vertAlign w:val="subscript"/>
          <w:lang w:val="en-US" w:eastAsia="zh-CN" w:bidi="bn-IN"/>
        </w:rPr>
        <w:t xml:space="preserve"> </w:t>
      </w:r>
      <w:r>
        <w:rPr>
          <w:rFonts w:hint="eastAsia" w:ascii="Times New Roman" w:hAnsi="Times New Roman" w:eastAsia="宋体" w:cs="Times New Roman"/>
          <w:b/>
          <w:bCs/>
          <w:sz w:val="20"/>
          <w:szCs w:val="20"/>
          <w:highlight w:val="none"/>
          <w:lang w:val="en-US" w:eastAsia="zh-CN"/>
        </w:rPr>
        <w:t>equations</w:t>
      </w:r>
      <w:r>
        <w:rPr>
          <w:rFonts w:hint="eastAsia" w:eastAsia="宋体" w:cs="Times New Roman"/>
          <w:b/>
          <w:bCs/>
          <w:sz w:val="20"/>
          <w:szCs w:val="20"/>
          <w:highlight w:val="none"/>
          <w:lang w:val="en-US" w:eastAsia="zh-CN"/>
        </w:rPr>
        <w:t xml:space="preserve"> in case of the duty cycle solution is identified.</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eastAsia="宋体" w:cs="Arial"/>
          <w:b/>
          <w:sz w:val="28"/>
          <w:szCs w:val="24"/>
          <w:highlight w:val="none"/>
          <w:lang w:val="en-US" w:eastAsia="zh-CN"/>
        </w:rPr>
        <w:t>4</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val="en-US" w:eastAsia="zh-CN"/>
        </w:rPr>
        <w:t>Reference</w:t>
      </w:r>
    </w:p>
    <w:bookmarkEnd w:id="0"/>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 xml:space="preserve">[1] </w:t>
      </w:r>
      <w:r>
        <w:rPr>
          <w:rFonts w:hint="eastAsia" w:eastAsia="宋体"/>
          <w:b w:val="0"/>
          <w:sz w:val="20"/>
          <w:highlight w:val="none"/>
          <w:lang w:val="en-US" w:eastAsia="zh-CN"/>
        </w:rPr>
        <w:t xml:space="preserve">RP-202088 </w:t>
      </w:r>
      <w:r>
        <w:rPr>
          <w:rFonts w:hint="eastAsia" w:ascii="Times New Roman" w:hAnsi="Times New Roman" w:eastAsia="宋体" w:cs="Times New Roman"/>
          <w:b w:val="0"/>
          <w:sz w:val="20"/>
          <w:highlight w:val="none"/>
          <w:lang w:val="en-US" w:eastAsia="zh-CN"/>
        </w:rPr>
        <w:t>RF requirements enhancement for NR frequency range 1</w:t>
      </w:r>
      <w:r>
        <w:rPr>
          <w:rFonts w:hint="eastAsia" w:ascii="Times New Roman" w:hAnsi="Times New Roman" w:eastAsia="宋体" w:cs="Times New Roman"/>
          <w:b w:val="0"/>
          <w:bCs w:val="0"/>
          <w:sz w:val="20"/>
          <w:szCs w:val="20"/>
          <w:highlight w:val="none"/>
          <w:vertAlign w:val="baseline"/>
          <w:lang w:val="en-US" w:eastAsia="zh-CN"/>
        </w:rPr>
        <w:t xml:space="preserve">, </w:t>
      </w:r>
      <w:r>
        <w:rPr>
          <w:rFonts w:hint="eastAsia" w:eastAsia="宋体" w:cs="Times New Roman"/>
          <w:b w:val="0"/>
          <w:bCs w:val="0"/>
          <w:sz w:val="20"/>
          <w:szCs w:val="20"/>
          <w:highlight w:val="none"/>
          <w:vertAlign w:val="baseline"/>
          <w:lang w:val="en-US" w:eastAsia="zh-CN"/>
        </w:rPr>
        <w:t xml:space="preserve">Huawei, </w:t>
      </w:r>
      <w:r>
        <w:rPr>
          <w:rFonts w:hint="eastAsia" w:ascii="Times New Roman" w:hAnsi="Times New Roman" w:eastAsia="宋体" w:cs="Times New Roman"/>
          <w:b w:val="0"/>
          <w:bCs w:val="0"/>
          <w:sz w:val="20"/>
          <w:szCs w:val="20"/>
          <w:highlight w:val="none"/>
          <w:vertAlign w:val="baseline"/>
          <w:lang w:val="en-US" w:eastAsia="zh-CN"/>
        </w:rPr>
        <w:t>China Telecom</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 xml:space="preserve">[2] </w:t>
      </w:r>
      <w:r>
        <w:rPr>
          <w:rFonts w:hint="eastAsia" w:ascii="Times New Roman" w:hAnsi="Times New Roman" w:eastAsia="宋体" w:cs="Times New Roman"/>
          <w:b w:val="0"/>
          <w:bCs w:val="0"/>
          <w:sz w:val="20"/>
          <w:szCs w:val="20"/>
          <w:highlight w:val="none"/>
          <w:vertAlign w:val="baseline"/>
          <w:lang w:val="en-US" w:eastAsia="zh-CN"/>
        </w:rPr>
        <w:t>R4-2009796 Discussion on SAR solution for interband PC2 2UL CA, CATT</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ascii="Times New Roman" w:hAnsi="Times New Roman"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 xml:space="preserve">[3] </w:t>
      </w:r>
      <w:r>
        <w:rPr>
          <w:rFonts w:hint="default" w:ascii="Times New Roman" w:hAnsi="Times New Roman" w:eastAsia="宋体" w:cs="Times New Roman"/>
          <w:b w:val="0"/>
          <w:bCs w:val="0"/>
          <w:sz w:val="20"/>
          <w:szCs w:val="20"/>
          <w:highlight w:val="none"/>
          <w:vertAlign w:val="baseline"/>
          <w:lang w:val="en-US" w:eastAsia="zh-CN"/>
        </w:rPr>
        <w:t>R4-2010634</w:t>
      </w:r>
      <w:r>
        <w:rPr>
          <w:rFonts w:hint="eastAsia" w:eastAsia="宋体" w:cs="Times New Roman"/>
          <w:b w:val="0"/>
          <w:bCs w:val="0"/>
          <w:sz w:val="20"/>
          <w:szCs w:val="20"/>
          <w:highlight w:val="none"/>
          <w:vertAlign w:val="baseline"/>
          <w:lang w:val="en-US" w:eastAsia="zh-CN"/>
        </w:rPr>
        <w:t xml:space="preserve"> </w:t>
      </w:r>
      <w:r>
        <w:rPr>
          <w:rFonts w:hint="default" w:ascii="Times New Roman" w:hAnsi="Times New Roman" w:eastAsia="宋体" w:cs="Times New Roman"/>
          <w:b w:val="0"/>
          <w:bCs w:val="0"/>
          <w:sz w:val="20"/>
          <w:szCs w:val="20"/>
          <w:highlight w:val="none"/>
          <w:vertAlign w:val="baseline"/>
          <w:lang w:val="en-US" w:eastAsia="zh-CN"/>
        </w:rPr>
        <w:t>Discussion on PC2 inter-band NR CA</w:t>
      </w:r>
      <w:r>
        <w:rPr>
          <w:rFonts w:hint="eastAsia" w:ascii="Times New Roman" w:hAnsi="Times New Roman" w:eastAsia="宋体" w:cs="Times New Roman"/>
          <w:b w:val="0"/>
          <w:bCs w:val="0"/>
          <w:sz w:val="20"/>
          <w:szCs w:val="20"/>
          <w:highlight w:val="none"/>
          <w:vertAlign w:val="baseline"/>
          <w:lang w:val="en-US" w:eastAsia="zh-CN"/>
        </w:rPr>
        <w:t>, ZTE Corporation</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 xml:space="preserve">[4] R4-2011789 </w:t>
      </w:r>
      <w:r>
        <w:rPr>
          <w:rFonts w:hint="eastAsia" w:ascii="Times New Roman" w:hAnsi="Times New Roman" w:eastAsia="宋体" w:cs="Times New Roman"/>
          <w:b w:val="0"/>
          <w:bCs w:val="0"/>
          <w:sz w:val="20"/>
          <w:szCs w:val="20"/>
          <w:highlight w:val="none"/>
          <w:vertAlign w:val="baseline"/>
          <w:lang w:val="en-US" w:eastAsia="zh-CN"/>
        </w:rPr>
        <w:t>WF on UE PC2 for NR inter-band CA and SUL configurations, China Telecom</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Vrinda">
    <w:panose1 w:val="020B0502040204020203"/>
    <w:charset w:val="00"/>
    <w:family w:val="swiss"/>
    <w:pitch w:val="default"/>
    <w:sig w:usb0="0001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01EACB"/>
    <w:multiLevelType w:val="singleLevel"/>
    <w:tmpl w:val="C301EACB"/>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3355193"/>
    <w:multiLevelType w:val="multilevel"/>
    <w:tmpl w:val="23355193"/>
    <w:lvl w:ilvl="0" w:tentative="0">
      <w:start w:val="1"/>
      <w:numFmt w:val="bullet"/>
      <w:lvlText w:val=""/>
      <w:lvlJc w:val="left"/>
      <w:pPr>
        <w:ind w:left="405" w:hanging="360"/>
      </w:pPr>
      <w:rPr>
        <w:rFonts w:hint="default" w:ascii="Symbol" w:hAnsi="Symbol"/>
      </w:rPr>
    </w:lvl>
    <w:lvl w:ilvl="1" w:tentative="0">
      <w:start w:val="0"/>
      <w:numFmt w:val="bullet"/>
      <w:lvlText w:val="-"/>
      <w:lvlJc w:val="left"/>
      <w:pPr>
        <w:ind w:left="885" w:hanging="420"/>
      </w:pPr>
      <w:rPr>
        <w:rFonts w:hint="default" w:ascii="Times New Roman" w:hAnsi="Times New Roman" w:eastAsia="Times New Roman" w:cs="Times New Roman"/>
      </w:rPr>
    </w:lvl>
    <w:lvl w:ilvl="2" w:tentative="0">
      <w:start w:val="0"/>
      <w:numFmt w:val="bullet"/>
      <w:lvlText w:val="-"/>
      <w:lvlJc w:val="left"/>
      <w:pPr>
        <w:ind w:left="1305" w:hanging="420"/>
      </w:pPr>
      <w:rPr>
        <w:rFonts w:hint="default" w:ascii="Times New Roman" w:hAnsi="Times New Roman" w:eastAsia="Times New Roman" w:cs="Times New Roman"/>
      </w:rPr>
    </w:lvl>
    <w:lvl w:ilvl="3" w:tentative="0">
      <w:start w:val="1"/>
      <w:numFmt w:val="decimal"/>
      <w:lvlText w:val="%4."/>
      <w:lvlJc w:val="left"/>
      <w:pPr>
        <w:ind w:left="1725" w:hanging="420"/>
      </w:pPr>
    </w:lvl>
    <w:lvl w:ilvl="4" w:tentative="0">
      <w:start w:val="1"/>
      <w:numFmt w:val="lowerLetter"/>
      <w:lvlText w:val="%5)"/>
      <w:lvlJc w:val="left"/>
      <w:pPr>
        <w:ind w:left="2145" w:hanging="420"/>
      </w:pPr>
    </w:lvl>
    <w:lvl w:ilvl="5" w:tentative="0">
      <w:start w:val="1"/>
      <w:numFmt w:val="lowerRoman"/>
      <w:lvlText w:val="%6."/>
      <w:lvlJc w:val="right"/>
      <w:pPr>
        <w:ind w:left="2565" w:hanging="420"/>
      </w:pPr>
    </w:lvl>
    <w:lvl w:ilvl="6" w:tentative="0">
      <w:start w:val="1"/>
      <w:numFmt w:val="decimal"/>
      <w:lvlText w:val="%7."/>
      <w:lvlJc w:val="left"/>
      <w:pPr>
        <w:ind w:left="2985" w:hanging="420"/>
      </w:pPr>
    </w:lvl>
    <w:lvl w:ilvl="7" w:tentative="0">
      <w:start w:val="1"/>
      <w:numFmt w:val="lowerLetter"/>
      <w:lvlText w:val="%8)"/>
      <w:lvlJc w:val="left"/>
      <w:pPr>
        <w:ind w:left="3405" w:hanging="420"/>
      </w:pPr>
    </w:lvl>
    <w:lvl w:ilvl="8" w:tentative="0">
      <w:start w:val="1"/>
      <w:numFmt w:val="lowerRoman"/>
      <w:lvlText w:val="%9."/>
      <w:lvlJc w:val="right"/>
      <w:pPr>
        <w:ind w:left="3825" w:hanging="420"/>
      </w:pPr>
    </w:lvl>
  </w:abstractNum>
  <w:abstractNum w:abstractNumId="5">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6">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
    <w:nsid w:val="52B77FD5"/>
    <w:multiLevelType w:val="multilevel"/>
    <w:tmpl w:val="52B77FD5"/>
    <w:lvl w:ilvl="0" w:tentative="0">
      <w:start w:val="1"/>
      <w:numFmt w:val="bullet"/>
      <w:lvlText w:val=""/>
      <w:lvlJc w:val="left"/>
      <w:pPr>
        <w:ind w:left="405" w:hanging="360"/>
      </w:pPr>
      <w:rPr>
        <w:rFonts w:hint="default" w:ascii="Symbol" w:hAnsi="Symbol"/>
      </w:rPr>
    </w:lvl>
    <w:lvl w:ilvl="1" w:tentative="0">
      <w:start w:val="1"/>
      <w:numFmt w:val="bullet"/>
      <w:lvlText w:val=""/>
      <w:lvlJc w:val="left"/>
      <w:pPr>
        <w:ind w:left="885" w:hanging="420"/>
      </w:pPr>
      <w:rPr>
        <w:rFonts w:hint="default" w:ascii="Symbol" w:hAnsi="Symbol"/>
        <w:color w:val="auto"/>
      </w:rPr>
    </w:lvl>
    <w:lvl w:ilvl="2" w:tentative="0">
      <w:start w:val="1"/>
      <w:numFmt w:val="bullet"/>
      <w:lvlText w:val=""/>
      <w:lvlJc w:val="left"/>
      <w:pPr>
        <w:ind w:left="1305" w:hanging="420"/>
      </w:pPr>
      <w:rPr>
        <w:rFonts w:hint="default" w:ascii="Symbol" w:hAnsi="Symbol"/>
        <w:color w:val="auto"/>
      </w:rPr>
    </w:lvl>
    <w:lvl w:ilvl="3" w:tentative="0">
      <w:start w:val="1"/>
      <w:numFmt w:val="decimal"/>
      <w:lvlText w:val="%4."/>
      <w:lvlJc w:val="left"/>
      <w:pPr>
        <w:ind w:left="1725" w:hanging="420"/>
      </w:pPr>
    </w:lvl>
    <w:lvl w:ilvl="4" w:tentative="0">
      <w:start w:val="1"/>
      <w:numFmt w:val="lowerLetter"/>
      <w:lvlText w:val="%5)"/>
      <w:lvlJc w:val="left"/>
      <w:pPr>
        <w:ind w:left="2145" w:hanging="420"/>
      </w:pPr>
    </w:lvl>
    <w:lvl w:ilvl="5" w:tentative="0">
      <w:start w:val="1"/>
      <w:numFmt w:val="lowerRoman"/>
      <w:lvlText w:val="%6."/>
      <w:lvlJc w:val="right"/>
      <w:pPr>
        <w:ind w:left="2565" w:hanging="420"/>
      </w:pPr>
    </w:lvl>
    <w:lvl w:ilvl="6" w:tentative="0">
      <w:start w:val="1"/>
      <w:numFmt w:val="decimal"/>
      <w:lvlText w:val="%7."/>
      <w:lvlJc w:val="left"/>
      <w:pPr>
        <w:ind w:left="2985" w:hanging="420"/>
      </w:pPr>
    </w:lvl>
    <w:lvl w:ilvl="7" w:tentative="0">
      <w:start w:val="1"/>
      <w:numFmt w:val="lowerLetter"/>
      <w:lvlText w:val="%8)"/>
      <w:lvlJc w:val="left"/>
      <w:pPr>
        <w:ind w:left="3405" w:hanging="420"/>
      </w:pPr>
    </w:lvl>
    <w:lvl w:ilvl="8" w:tentative="0">
      <w:start w:val="1"/>
      <w:numFmt w:val="lowerRoman"/>
      <w:lvlText w:val="%9."/>
      <w:lvlJc w:val="right"/>
      <w:pPr>
        <w:ind w:left="3825" w:hanging="420"/>
      </w:pPr>
    </w:lvl>
  </w:abstractNum>
  <w:abstractNum w:abstractNumId="10">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63847C07"/>
    <w:multiLevelType w:val="multilevel"/>
    <w:tmpl w:val="63847C07"/>
    <w:lvl w:ilvl="0" w:tentative="0">
      <w:start w:val="1"/>
      <w:numFmt w:val="bullet"/>
      <w:lvlText w:val=""/>
      <w:lvlJc w:val="left"/>
      <w:pPr>
        <w:ind w:left="405" w:hanging="360"/>
      </w:pPr>
      <w:rPr>
        <w:rFonts w:hint="default" w:ascii="Symbol" w:hAnsi="Symbol"/>
      </w:rPr>
    </w:lvl>
    <w:lvl w:ilvl="1" w:tentative="0">
      <w:start w:val="1"/>
      <w:numFmt w:val="bullet"/>
      <w:lvlText w:val=""/>
      <w:lvlJc w:val="left"/>
      <w:pPr>
        <w:ind w:left="885" w:hanging="420"/>
      </w:pPr>
      <w:rPr>
        <w:rFonts w:hint="default" w:ascii="Symbol" w:hAnsi="Symbol"/>
        <w:color w:val="auto"/>
      </w:rPr>
    </w:lvl>
    <w:lvl w:ilvl="2" w:tentative="0">
      <w:start w:val="1"/>
      <w:numFmt w:val="bullet"/>
      <w:lvlText w:val=""/>
      <w:lvlJc w:val="left"/>
      <w:pPr>
        <w:ind w:left="1305" w:hanging="420"/>
      </w:pPr>
      <w:rPr>
        <w:rFonts w:hint="default" w:ascii="Wingdings" w:hAnsi="Wingdings"/>
        <w:color w:val="auto"/>
      </w:rPr>
    </w:lvl>
    <w:lvl w:ilvl="3" w:tentative="0">
      <w:start w:val="18"/>
      <w:numFmt w:val="bullet"/>
      <w:lvlText w:val="-"/>
      <w:lvlJc w:val="left"/>
      <w:pPr>
        <w:ind w:left="1725" w:hanging="420"/>
      </w:pPr>
      <w:rPr>
        <w:rFonts w:hint="default" w:ascii="Arial" w:hAnsi="Arial" w:eastAsia="Times New Roman" w:cs="Arial"/>
        <w:i/>
        <w:color w:val="auto"/>
      </w:rPr>
    </w:lvl>
    <w:lvl w:ilvl="4" w:tentative="0">
      <w:start w:val="1"/>
      <w:numFmt w:val="lowerLetter"/>
      <w:lvlText w:val="%5)"/>
      <w:lvlJc w:val="left"/>
      <w:pPr>
        <w:ind w:left="2145" w:hanging="420"/>
      </w:pPr>
    </w:lvl>
    <w:lvl w:ilvl="5" w:tentative="0">
      <w:start w:val="1"/>
      <w:numFmt w:val="lowerRoman"/>
      <w:lvlText w:val="%6."/>
      <w:lvlJc w:val="right"/>
      <w:pPr>
        <w:ind w:left="2565" w:hanging="420"/>
      </w:pPr>
    </w:lvl>
    <w:lvl w:ilvl="6" w:tentative="0">
      <w:start w:val="1"/>
      <w:numFmt w:val="decimal"/>
      <w:lvlText w:val="%7."/>
      <w:lvlJc w:val="left"/>
      <w:pPr>
        <w:ind w:left="2985" w:hanging="420"/>
      </w:pPr>
    </w:lvl>
    <w:lvl w:ilvl="7" w:tentative="0">
      <w:start w:val="1"/>
      <w:numFmt w:val="lowerLetter"/>
      <w:lvlText w:val="%8)"/>
      <w:lvlJc w:val="left"/>
      <w:pPr>
        <w:ind w:left="3405" w:hanging="420"/>
      </w:pPr>
    </w:lvl>
    <w:lvl w:ilvl="8" w:tentative="0">
      <w:start w:val="1"/>
      <w:numFmt w:val="lowerRoman"/>
      <w:lvlText w:val="%9."/>
      <w:lvlJc w:val="right"/>
      <w:pPr>
        <w:ind w:left="3825" w:hanging="420"/>
      </w:pPr>
    </w:lvl>
  </w:abstractNum>
  <w:abstractNum w:abstractNumId="12">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2"/>
  </w:num>
  <w:num w:numId="2">
    <w:abstractNumId w:val="5"/>
  </w:num>
  <w:num w:numId="3">
    <w:abstractNumId w:val="3"/>
  </w:num>
  <w:num w:numId="4">
    <w:abstractNumId w:val="2"/>
  </w:num>
  <w:num w:numId="5">
    <w:abstractNumId w:val="1"/>
  </w:num>
  <w:num w:numId="6">
    <w:abstractNumId w:val="10"/>
  </w:num>
  <w:num w:numId="7">
    <w:abstractNumId w:val="13"/>
  </w:num>
  <w:num w:numId="8">
    <w:abstractNumId w:val="15"/>
  </w:num>
  <w:num w:numId="9">
    <w:abstractNumId w:val="7"/>
  </w:num>
  <w:num w:numId="10">
    <w:abstractNumId w:val="8"/>
  </w:num>
  <w:num w:numId="11">
    <w:abstractNumId w:val="6"/>
  </w:num>
  <w:num w:numId="12">
    <w:abstractNumId w:val="14"/>
  </w:num>
  <w:num w:numId="13">
    <w:abstractNumId w:val="4"/>
  </w:num>
  <w:num w:numId="14">
    <w:abstractNumId w:val="9"/>
  </w:num>
  <w:num w:numId="15">
    <w:abstractNumId w:val="1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C03267"/>
    <w:rsid w:val="01C230B8"/>
    <w:rsid w:val="01C605AA"/>
    <w:rsid w:val="01C77E59"/>
    <w:rsid w:val="01CC7635"/>
    <w:rsid w:val="01D63E85"/>
    <w:rsid w:val="01DC352B"/>
    <w:rsid w:val="01E06988"/>
    <w:rsid w:val="01ED283C"/>
    <w:rsid w:val="01F077B9"/>
    <w:rsid w:val="01F61B27"/>
    <w:rsid w:val="01FB375F"/>
    <w:rsid w:val="01FB73D0"/>
    <w:rsid w:val="01FC180E"/>
    <w:rsid w:val="02093AA7"/>
    <w:rsid w:val="02096EC3"/>
    <w:rsid w:val="020E4504"/>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2092"/>
    <w:rsid w:val="0258386E"/>
    <w:rsid w:val="026B2AD2"/>
    <w:rsid w:val="02750052"/>
    <w:rsid w:val="027837DE"/>
    <w:rsid w:val="027C24F6"/>
    <w:rsid w:val="028575FB"/>
    <w:rsid w:val="028909D6"/>
    <w:rsid w:val="029679BC"/>
    <w:rsid w:val="02A175C2"/>
    <w:rsid w:val="02A27389"/>
    <w:rsid w:val="02A7092C"/>
    <w:rsid w:val="02A76EA9"/>
    <w:rsid w:val="02A86E51"/>
    <w:rsid w:val="02AB2C40"/>
    <w:rsid w:val="02AE4D11"/>
    <w:rsid w:val="02B130CC"/>
    <w:rsid w:val="02B92045"/>
    <w:rsid w:val="02DB0B28"/>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7131C"/>
    <w:rsid w:val="04740CAB"/>
    <w:rsid w:val="047C7418"/>
    <w:rsid w:val="047F211F"/>
    <w:rsid w:val="04921B49"/>
    <w:rsid w:val="049377A7"/>
    <w:rsid w:val="04970C3A"/>
    <w:rsid w:val="04AD5427"/>
    <w:rsid w:val="04B31C9E"/>
    <w:rsid w:val="04B773EC"/>
    <w:rsid w:val="04CE5DAA"/>
    <w:rsid w:val="04D06A94"/>
    <w:rsid w:val="04D822DA"/>
    <w:rsid w:val="04E251E1"/>
    <w:rsid w:val="04E5192B"/>
    <w:rsid w:val="04E55A04"/>
    <w:rsid w:val="04E951BC"/>
    <w:rsid w:val="04F83880"/>
    <w:rsid w:val="04FB32C2"/>
    <w:rsid w:val="0507209B"/>
    <w:rsid w:val="050B6335"/>
    <w:rsid w:val="0510022D"/>
    <w:rsid w:val="0510798F"/>
    <w:rsid w:val="05161306"/>
    <w:rsid w:val="051C3FC7"/>
    <w:rsid w:val="051C6040"/>
    <w:rsid w:val="052A53FB"/>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E4F3F"/>
    <w:rsid w:val="059E20A2"/>
    <w:rsid w:val="05A61B3E"/>
    <w:rsid w:val="05A77370"/>
    <w:rsid w:val="05CE76FB"/>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B32C2"/>
    <w:rsid w:val="068B6B45"/>
    <w:rsid w:val="069561E9"/>
    <w:rsid w:val="069A1A61"/>
    <w:rsid w:val="069B6E98"/>
    <w:rsid w:val="069C44CD"/>
    <w:rsid w:val="06AB1DFD"/>
    <w:rsid w:val="06AB26A7"/>
    <w:rsid w:val="06B74133"/>
    <w:rsid w:val="06C31A1F"/>
    <w:rsid w:val="06C453F9"/>
    <w:rsid w:val="06C62533"/>
    <w:rsid w:val="06C82DD0"/>
    <w:rsid w:val="06CB06AF"/>
    <w:rsid w:val="06DA77D3"/>
    <w:rsid w:val="06DC48E2"/>
    <w:rsid w:val="06E20C84"/>
    <w:rsid w:val="06F26E20"/>
    <w:rsid w:val="06F81E01"/>
    <w:rsid w:val="06FA23A7"/>
    <w:rsid w:val="06FB1578"/>
    <w:rsid w:val="0700756B"/>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F1FDF"/>
    <w:rsid w:val="07447DDE"/>
    <w:rsid w:val="07505939"/>
    <w:rsid w:val="075460A8"/>
    <w:rsid w:val="07560AAB"/>
    <w:rsid w:val="076931E4"/>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4148B"/>
    <w:rsid w:val="07F52B60"/>
    <w:rsid w:val="07F60F40"/>
    <w:rsid w:val="07F95C38"/>
    <w:rsid w:val="07FB67AC"/>
    <w:rsid w:val="07FF32B3"/>
    <w:rsid w:val="08015D0A"/>
    <w:rsid w:val="080E2AA4"/>
    <w:rsid w:val="081100F4"/>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60D65"/>
    <w:rsid w:val="08786CAE"/>
    <w:rsid w:val="087D07B1"/>
    <w:rsid w:val="088B2800"/>
    <w:rsid w:val="088D3DB3"/>
    <w:rsid w:val="089248A3"/>
    <w:rsid w:val="08A14169"/>
    <w:rsid w:val="08AB7ED7"/>
    <w:rsid w:val="08AF3AE8"/>
    <w:rsid w:val="08B32027"/>
    <w:rsid w:val="08BB173B"/>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760A2"/>
    <w:rsid w:val="092D6FEC"/>
    <w:rsid w:val="092F0069"/>
    <w:rsid w:val="092F4A13"/>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A27ADB"/>
    <w:rsid w:val="09A86C79"/>
    <w:rsid w:val="09AB5269"/>
    <w:rsid w:val="09B50809"/>
    <w:rsid w:val="09B973BD"/>
    <w:rsid w:val="09BB12F9"/>
    <w:rsid w:val="09C57A4C"/>
    <w:rsid w:val="09C60820"/>
    <w:rsid w:val="09C9420F"/>
    <w:rsid w:val="09D016B0"/>
    <w:rsid w:val="09D41824"/>
    <w:rsid w:val="09DA09DB"/>
    <w:rsid w:val="09E37F8B"/>
    <w:rsid w:val="09E73CAA"/>
    <w:rsid w:val="09F01BDC"/>
    <w:rsid w:val="09F05FD9"/>
    <w:rsid w:val="09F5481F"/>
    <w:rsid w:val="09F66132"/>
    <w:rsid w:val="09FA4305"/>
    <w:rsid w:val="09FC5A06"/>
    <w:rsid w:val="09FD7AC1"/>
    <w:rsid w:val="0A087C59"/>
    <w:rsid w:val="0A0A4421"/>
    <w:rsid w:val="0A0C5AD4"/>
    <w:rsid w:val="0A0D3E6C"/>
    <w:rsid w:val="0A0D5D35"/>
    <w:rsid w:val="0A0F1328"/>
    <w:rsid w:val="0A137D08"/>
    <w:rsid w:val="0A195E24"/>
    <w:rsid w:val="0A1E1938"/>
    <w:rsid w:val="0A1E4221"/>
    <w:rsid w:val="0A265ED2"/>
    <w:rsid w:val="0A2A6909"/>
    <w:rsid w:val="0A37750E"/>
    <w:rsid w:val="0A411659"/>
    <w:rsid w:val="0A4366FB"/>
    <w:rsid w:val="0A452965"/>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738E8"/>
    <w:rsid w:val="0AAA4BCB"/>
    <w:rsid w:val="0AAC5BDF"/>
    <w:rsid w:val="0AB07F15"/>
    <w:rsid w:val="0AB11671"/>
    <w:rsid w:val="0AB2374D"/>
    <w:rsid w:val="0ABB622B"/>
    <w:rsid w:val="0ABD2945"/>
    <w:rsid w:val="0ABD5EB4"/>
    <w:rsid w:val="0ABF214E"/>
    <w:rsid w:val="0AC11D6C"/>
    <w:rsid w:val="0AC4272A"/>
    <w:rsid w:val="0AC51A47"/>
    <w:rsid w:val="0AC93231"/>
    <w:rsid w:val="0AD7243D"/>
    <w:rsid w:val="0AD73ACA"/>
    <w:rsid w:val="0AD829A8"/>
    <w:rsid w:val="0ADC5D23"/>
    <w:rsid w:val="0AE23DA6"/>
    <w:rsid w:val="0AEA7232"/>
    <w:rsid w:val="0AF44695"/>
    <w:rsid w:val="0AFF04EF"/>
    <w:rsid w:val="0AFF28BB"/>
    <w:rsid w:val="0B070072"/>
    <w:rsid w:val="0B080C34"/>
    <w:rsid w:val="0B096705"/>
    <w:rsid w:val="0B110BE9"/>
    <w:rsid w:val="0B1C4BBB"/>
    <w:rsid w:val="0B1F01C1"/>
    <w:rsid w:val="0B2110B3"/>
    <w:rsid w:val="0B300128"/>
    <w:rsid w:val="0B3171CB"/>
    <w:rsid w:val="0B3276E8"/>
    <w:rsid w:val="0B354623"/>
    <w:rsid w:val="0B5355EB"/>
    <w:rsid w:val="0B581A82"/>
    <w:rsid w:val="0B62077D"/>
    <w:rsid w:val="0B633BD1"/>
    <w:rsid w:val="0B67076C"/>
    <w:rsid w:val="0B6A4660"/>
    <w:rsid w:val="0B6B2BC3"/>
    <w:rsid w:val="0B6C09A7"/>
    <w:rsid w:val="0B7E5B00"/>
    <w:rsid w:val="0B8650E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D1E37"/>
    <w:rsid w:val="0BE1620F"/>
    <w:rsid w:val="0BE376C6"/>
    <w:rsid w:val="0BE7693E"/>
    <w:rsid w:val="0BEB39E4"/>
    <w:rsid w:val="0BF00B65"/>
    <w:rsid w:val="0BF33C47"/>
    <w:rsid w:val="0C0E4E46"/>
    <w:rsid w:val="0C131F97"/>
    <w:rsid w:val="0C1A2934"/>
    <w:rsid w:val="0C20567B"/>
    <w:rsid w:val="0C392883"/>
    <w:rsid w:val="0C405D6F"/>
    <w:rsid w:val="0C43314A"/>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AC533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A50B4"/>
    <w:rsid w:val="0D514530"/>
    <w:rsid w:val="0D521205"/>
    <w:rsid w:val="0D5960E0"/>
    <w:rsid w:val="0D5F33A1"/>
    <w:rsid w:val="0D701250"/>
    <w:rsid w:val="0D7344C8"/>
    <w:rsid w:val="0D747D20"/>
    <w:rsid w:val="0D763116"/>
    <w:rsid w:val="0D830CBD"/>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4528"/>
    <w:rsid w:val="0F3F5105"/>
    <w:rsid w:val="0F475E79"/>
    <w:rsid w:val="0F492AD4"/>
    <w:rsid w:val="0F4C4091"/>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951CB"/>
    <w:rsid w:val="0FAA7A9A"/>
    <w:rsid w:val="0FAC498C"/>
    <w:rsid w:val="0FB97CF0"/>
    <w:rsid w:val="0FBB32BC"/>
    <w:rsid w:val="0FC03CBD"/>
    <w:rsid w:val="0FC11DF0"/>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0549F"/>
    <w:rsid w:val="10145E18"/>
    <w:rsid w:val="10175238"/>
    <w:rsid w:val="10197CA4"/>
    <w:rsid w:val="101B0376"/>
    <w:rsid w:val="101E6D08"/>
    <w:rsid w:val="10233686"/>
    <w:rsid w:val="102C36D4"/>
    <w:rsid w:val="1031370F"/>
    <w:rsid w:val="10323E67"/>
    <w:rsid w:val="10396F61"/>
    <w:rsid w:val="104166B0"/>
    <w:rsid w:val="104436B8"/>
    <w:rsid w:val="10495A84"/>
    <w:rsid w:val="105064E8"/>
    <w:rsid w:val="10542CF6"/>
    <w:rsid w:val="10635536"/>
    <w:rsid w:val="106A0A00"/>
    <w:rsid w:val="106F48C4"/>
    <w:rsid w:val="107735CC"/>
    <w:rsid w:val="10783DC2"/>
    <w:rsid w:val="108E4283"/>
    <w:rsid w:val="10987768"/>
    <w:rsid w:val="109B6262"/>
    <w:rsid w:val="10B96A3B"/>
    <w:rsid w:val="10CE07DA"/>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5568E"/>
    <w:rsid w:val="113E229D"/>
    <w:rsid w:val="113E6EF7"/>
    <w:rsid w:val="113F1A85"/>
    <w:rsid w:val="11402B56"/>
    <w:rsid w:val="11417B00"/>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43F1E"/>
    <w:rsid w:val="1197723B"/>
    <w:rsid w:val="119F2B47"/>
    <w:rsid w:val="11A67383"/>
    <w:rsid w:val="11B05A60"/>
    <w:rsid w:val="11BC664B"/>
    <w:rsid w:val="11BF56EF"/>
    <w:rsid w:val="11C846B5"/>
    <w:rsid w:val="11C909CA"/>
    <w:rsid w:val="11C936A2"/>
    <w:rsid w:val="11D93CCB"/>
    <w:rsid w:val="11EB14B4"/>
    <w:rsid w:val="11F31D4A"/>
    <w:rsid w:val="11FA3ACF"/>
    <w:rsid w:val="11FE7FA9"/>
    <w:rsid w:val="12015323"/>
    <w:rsid w:val="12025423"/>
    <w:rsid w:val="1206121A"/>
    <w:rsid w:val="1209251A"/>
    <w:rsid w:val="12194EB2"/>
    <w:rsid w:val="121A10A0"/>
    <w:rsid w:val="122605E2"/>
    <w:rsid w:val="122A4C9F"/>
    <w:rsid w:val="12332CE2"/>
    <w:rsid w:val="12376283"/>
    <w:rsid w:val="123E2CA3"/>
    <w:rsid w:val="124E6485"/>
    <w:rsid w:val="12550EAE"/>
    <w:rsid w:val="12627A41"/>
    <w:rsid w:val="12647704"/>
    <w:rsid w:val="12663A63"/>
    <w:rsid w:val="12670745"/>
    <w:rsid w:val="126B3428"/>
    <w:rsid w:val="127B706D"/>
    <w:rsid w:val="127C1D27"/>
    <w:rsid w:val="127D11AD"/>
    <w:rsid w:val="12822706"/>
    <w:rsid w:val="12835AED"/>
    <w:rsid w:val="128E3209"/>
    <w:rsid w:val="12A53CFF"/>
    <w:rsid w:val="12A9605F"/>
    <w:rsid w:val="12AF442E"/>
    <w:rsid w:val="12B21F52"/>
    <w:rsid w:val="12B32A37"/>
    <w:rsid w:val="12C20883"/>
    <w:rsid w:val="12CB538A"/>
    <w:rsid w:val="12CD1DC9"/>
    <w:rsid w:val="12D43973"/>
    <w:rsid w:val="12E27109"/>
    <w:rsid w:val="12E77AD7"/>
    <w:rsid w:val="12E94E33"/>
    <w:rsid w:val="12EA0359"/>
    <w:rsid w:val="12F9591A"/>
    <w:rsid w:val="130B1D8A"/>
    <w:rsid w:val="131358FB"/>
    <w:rsid w:val="13173505"/>
    <w:rsid w:val="131F3AD2"/>
    <w:rsid w:val="13293EE0"/>
    <w:rsid w:val="133025EA"/>
    <w:rsid w:val="13304676"/>
    <w:rsid w:val="13326762"/>
    <w:rsid w:val="133657BA"/>
    <w:rsid w:val="133E3DD1"/>
    <w:rsid w:val="13403B28"/>
    <w:rsid w:val="13445DA5"/>
    <w:rsid w:val="13481951"/>
    <w:rsid w:val="1348475C"/>
    <w:rsid w:val="134D10D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27113"/>
    <w:rsid w:val="13F3515A"/>
    <w:rsid w:val="13F41217"/>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D4997"/>
    <w:rsid w:val="14A04F69"/>
    <w:rsid w:val="14A10588"/>
    <w:rsid w:val="14A11363"/>
    <w:rsid w:val="14A56052"/>
    <w:rsid w:val="14A862B6"/>
    <w:rsid w:val="14A87888"/>
    <w:rsid w:val="14AA6172"/>
    <w:rsid w:val="14AC283B"/>
    <w:rsid w:val="14B071EA"/>
    <w:rsid w:val="14BD5CC4"/>
    <w:rsid w:val="14C42409"/>
    <w:rsid w:val="14C510C3"/>
    <w:rsid w:val="14CC3E85"/>
    <w:rsid w:val="14E1264D"/>
    <w:rsid w:val="14E93B9B"/>
    <w:rsid w:val="14EC0CCF"/>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822789"/>
    <w:rsid w:val="1587473D"/>
    <w:rsid w:val="158B3505"/>
    <w:rsid w:val="159668BE"/>
    <w:rsid w:val="159C7418"/>
    <w:rsid w:val="15A50240"/>
    <w:rsid w:val="15A730AB"/>
    <w:rsid w:val="15B0182F"/>
    <w:rsid w:val="15B27CF5"/>
    <w:rsid w:val="15B3688A"/>
    <w:rsid w:val="15BD3CA1"/>
    <w:rsid w:val="15BE5020"/>
    <w:rsid w:val="15C44867"/>
    <w:rsid w:val="15C47F25"/>
    <w:rsid w:val="15D46B42"/>
    <w:rsid w:val="15D916B7"/>
    <w:rsid w:val="15E70479"/>
    <w:rsid w:val="15EE6110"/>
    <w:rsid w:val="15EF6C75"/>
    <w:rsid w:val="15FA46E2"/>
    <w:rsid w:val="15FE0588"/>
    <w:rsid w:val="1606047C"/>
    <w:rsid w:val="160624F4"/>
    <w:rsid w:val="16070A35"/>
    <w:rsid w:val="160848A2"/>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90F31"/>
    <w:rsid w:val="16C21340"/>
    <w:rsid w:val="16C47616"/>
    <w:rsid w:val="16C740C5"/>
    <w:rsid w:val="16C80034"/>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F1F79"/>
    <w:rsid w:val="17607EDC"/>
    <w:rsid w:val="1761643B"/>
    <w:rsid w:val="1765372D"/>
    <w:rsid w:val="1776290F"/>
    <w:rsid w:val="1778040D"/>
    <w:rsid w:val="177C4BFD"/>
    <w:rsid w:val="177E7C92"/>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B771D"/>
    <w:rsid w:val="186A585C"/>
    <w:rsid w:val="186C0342"/>
    <w:rsid w:val="186C19F1"/>
    <w:rsid w:val="186E121C"/>
    <w:rsid w:val="187D0B92"/>
    <w:rsid w:val="18893D17"/>
    <w:rsid w:val="188D7FF5"/>
    <w:rsid w:val="18966DD6"/>
    <w:rsid w:val="18983058"/>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6F46"/>
    <w:rsid w:val="18F81760"/>
    <w:rsid w:val="18FB7C71"/>
    <w:rsid w:val="1906156A"/>
    <w:rsid w:val="190740B2"/>
    <w:rsid w:val="190B5294"/>
    <w:rsid w:val="19136FD5"/>
    <w:rsid w:val="191A4A7C"/>
    <w:rsid w:val="1929271F"/>
    <w:rsid w:val="192A4C95"/>
    <w:rsid w:val="19301657"/>
    <w:rsid w:val="19305E22"/>
    <w:rsid w:val="19313884"/>
    <w:rsid w:val="193A711A"/>
    <w:rsid w:val="193B6A4A"/>
    <w:rsid w:val="193E651C"/>
    <w:rsid w:val="194174BB"/>
    <w:rsid w:val="19462558"/>
    <w:rsid w:val="194C5184"/>
    <w:rsid w:val="19526D70"/>
    <w:rsid w:val="195311B7"/>
    <w:rsid w:val="19552D2E"/>
    <w:rsid w:val="195722C5"/>
    <w:rsid w:val="19581213"/>
    <w:rsid w:val="195D7A25"/>
    <w:rsid w:val="19657E50"/>
    <w:rsid w:val="19683610"/>
    <w:rsid w:val="196B503A"/>
    <w:rsid w:val="197E0545"/>
    <w:rsid w:val="198A1403"/>
    <w:rsid w:val="198B4762"/>
    <w:rsid w:val="1991274D"/>
    <w:rsid w:val="199D107F"/>
    <w:rsid w:val="199D6DCA"/>
    <w:rsid w:val="199E1C5F"/>
    <w:rsid w:val="19A104A8"/>
    <w:rsid w:val="19A14776"/>
    <w:rsid w:val="19AD33FE"/>
    <w:rsid w:val="19AD6859"/>
    <w:rsid w:val="19AE7897"/>
    <w:rsid w:val="19B44632"/>
    <w:rsid w:val="19B60076"/>
    <w:rsid w:val="19C25C1A"/>
    <w:rsid w:val="19C7224C"/>
    <w:rsid w:val="19C8660E"/>
    <w:rsid w:val="19CF372D"/>
    <w:rsid w:val="19D1031C"/>
    <w:rsid w:val="19D1466F"/>
    <w:rsid w:val="19E01C52"/>
    <w:rsid w:val="19E12E88"/>
    <w:rsid w:val="19E92B6A"/>
    <w:rsid w:val="19EC12FB"/>
    <w:rsid w:val="19EC30C6"/>
    <w:rsid w:val="19ED41CF"/>
    <w:rsid w:val="19F51FDF"/>
    <w:rsid w:val="1A0342E9"/>
    <w:rsid w:val="1A05603E"/>
    <w:rsid w:val="1A05712E"/>
    <w:rsid w:val="1A081E7F"/>
    <w:rsid w:val="1A0D0FEB"/>
    <w:rsid w:val="1A1E60F6"/>
    <w:rsid w:val="1A23285C"/>
    <w:rsid w:val="1A267DE8"/>
    <w:rsid w:val="1A2A4C26"/>
    <w:rsid w:val="1A326E19"/>
    <w:rsid w:val="1A377042"/>
    <w:rsid w:val="1A4371CF"/>
    <w:rsid w:val="1A4609B6"/>
    <w:rsid w:val="1A473086"/>
    <w:rsid w:val="1A4E21B5"/>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2403B5"/>
    <w:rsid w:val="1B24304B"/>
    <w:rsid w:val="1B2E4F31"/>
    <w:rsid w:val="1B300A61"/>
    <w:rsid w:val="1B3421B2"/>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87058E"/>
    <w:rsid w:val="1B8B2C18"/>
    <w:rsid w:val="1B935851"/>
    <w:rsid w:val="1B9950DF"/>
    <w:rsid w:val="1B99570C"/>
    <w:rsid w:val="1BA13621"/>
    <w:rsid w:val="1BA21D9D"/>
    <w:rsid w:val="1BA35D23"/>
    <w:rsid w:val="1BAC16E5"/>
    <w:rsid w:val="1BB40F2B"/>
    <w:rsid w:val="1BB5784D"/>
    <w:rsid w:val="1BBE3FFF"/>
    <w:rsid w:val="1BC153A7"/>
    <w:rsid w:val="1BC57256"/>
    <w:rsid w:val="1BCF2B9F"/>
    <w:rsid w:val="1BD40808"/>
    <w:rsid w:val="1BD657AE"/>
    <w:rsid w:val="1BD803EF"/>
    <w:rsid w:val="1BD977E2"/>
    <w:rsid w:val="1BDC1FDD"/>
    <w:rsid w:val="1BE00A01"/>
    <w:rsid w:val="1BED382A"/>
    <w:rsid w:val="1BED7882"/>
    <w:rsid w:val="1BEF6A59"/>
    <w:rsid w:val="1BF01922"/>
    <w:rsid w:val="1C026BE2"/>
    <w:rsid w:val="1C027BFF"/>
    <w:rsid w:val="1C045819"/>
    <w:rsid w:val="1C095057"/>
    <w:rsid w:val="1C0A570F"/>
    <w:rsid w:val="1C10625F"/>
    <w:rsid w:val="1C145A58"/>
    <w:rsid w:val="1C152097"/>
    <w:rsid w:val="1C15285B"/>
    <w:rsid w:val="1C1B1718"/>
    <w:rsid w:val="1C1E632B"/>
    <w:rsid w:val="1C230D0E"/>
    <w:rsid w:val="1C243FC3"/>
    <w:rsid w:val="1C2A40BF"/>
    <w:rsid w:val="1C2E4B85"/>
    <w:rsid w:val="1C3B0B57"/>
    <w:rsid w:val="1C3B190C"/>
    <w:rsid w:val="1C4412A9"/>
    <w:rsid w:val="1C4A0EAE"/>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F04B1"/>
    <w:rsid w:val="1D4511C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50139B"/>
    <w:rsid w:val="1E563A89"/>
    <w:rsid w:val="1E5F17F6"/>
    <w:rsid w:val="1E687705"/>
    <w:rsid w:val="1E6E32B3"/>
    <w:rsid w:val="1E732462"/>
    <w:rsid w:val="1E79505C"/>
    <w:rsid w:val="1E9564D7"/>
    <w:rsid w:val="1E9B64F2"/>
    <w:rsid w:val="1E9F6590"/>
    <w:rsid w:val="1EAA1FDC"/>
    <w:rsid w:val="1EB8778F"/>
    <w:rsid w:val="1EBA0A60"/>
    <w:rsid w:val="1EBD2B34"/>
    <w:rsid w:val="1EBE7B91"/>
    <w:rsid w:val="1EBF2648"/>
    <w:rsid w:val="1EC2215B"/>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37A64"/>
    <w:rsid w:val="1F291073"/>
    <w:rsid w:val="1F364BA6"/>
    <w:rsid w:val="1F384946"/>
    <w:rsid w:val="1F3C4B92"/>
    <w:rsid w:val="1F3E16A1"/>
    <w:rsid w:val="1F4734A0"/>
    <w:rsid w:val="1F486AE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C37FD"/>
    <w:rsid w:val="200D7333"/>
    <w:rsid w:val="20125BCF"/>
    <w:rsid w:val="20173670"/>
    <w:rsid w:val="201B7586"/>
    <w:rsid w:val="201C3CA2"/>
    <w:rsid w:val="201D36E6"/>
    <w:rsid w:val="201F1A41"/>
    <w:rsid w:val="20246D32"/>
    <w:rsid w:val="20287CCA"/>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A0289C"/>
    <w:rsid w:val="20B44655"/>
    <w:rsid w:val="20B816A1"/>
    <w:rsid w:val="20B95BEF"/>
    <w:rsid w:val="20BC29D9"/>
    <w:rsid w:val="20C11D2A"/>
    <w:rsid w:val="20C26B56"/>
    <w:rsid w:val="20C776A9"/>
    <w:rsid w:val="20D45236"/>
    <w:rsid w:val="20D45CC6"/>
    <w:rsid w:val="20D47CF1"/>
    <w:rsid w:val="20D67A4F"/>
    <w:rsid w:val="20DF7183"/>
    <w:rsid w:val="20EB0A2A"/>
    <w:rsid w:val="20ED6469"/>
    <w:rsid w:val="20EE326C"/>
    <w:rsid w:val="20F309B6"/>
    <w:rsid w:val="20F72E28"/>
    <w:rsid w:val="21010181"/>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B37CA"/>
    <w:rsid w:val="215D104C"/>
    <w:rsid w:val="216707D5"/>
    <w:rsid w:val="21700B44"/>
    <w:rsid w:val="217105A1"/>
    <w:rsid w:val="217C4BD1"/>
    <w:rsid w:val="21836424"/>
    <w:rsid w:val="21881398"/>
    <w:rsid w:val="218F54BC"/>
    <w:rsid w:val="21921E6A"/>
    <w:rsid w:val="219531A4"/>
    <w:rsid w:val="2197160F"/>
    <w:rsid w:val="21976B9E"/>
    <w:rsid w:val="21A242AC"/>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37E5F"/>
    <w:rsid w:val="220639A6"/>
    <w:rsid w:val="22114C72"/>
    <w:rsid w:val="22121E7C"/>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4056"/>
    <w:rsid w:val="226436BF"/>
    <w:rsid w:val="226758E5"/>
    <w:rsid w:val="22692416"/>
    <w:rsid w:val="22790C8F"/>
    <w:rsid w:val="227E691F"/>
    <w:rsid w:val="227F29B7"/>
    <w:rsid w:val="229150BB"/>
    <w:rsid w:val="229A472F"/>
    <w:rsid w:val="22A76E5F"/>
    <w:rsid w:val="22AE201B"/>
    <w:rsid w:val="22AF27D5"/>
    <w:rsid w:val="22B414AA"/>
    <w:rsid w:val="22B41D89"/>
    <w:rsid w:val="22BB77FD"/>
    <w:rsid w:val="22BD44C5"/>
    <w:rsid w:val="22BF4862"/>
    <w:rsid w:val="22C1586D"/>
    <w:rsid w:val="22C27100"/>
    <w:rsid w:val="22CA16DE"/>
    <w:rsid w:val="22CB0049"/>
    <w:rsid w:val="22CD7FC8"/>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42C8B"/>
    <w:rsid w:val="241C3505"/>
    <w:rsid w:val="241F2F86"/>
    <w:rsid w:val="24203BAA"/>
    <w:rsid w:val="242546AB"/>
    <w:rsid w:val="242E2EF3"/>
    <w:rsid w:val="24376E92"/>
    <w:rsid w:val="24382415"/>
    <w:rsid w:val="243E1494"/>
    <w:rsid w:val="24401ED3"/>
    <w:rsid w:val="24463F64"/>
    <w:rsid w:val="244C3178"/>
    <w:rsid w:val="245037AB"/>
    <w:rsid w:val="24525AE4"/>
    <w:rsid w:val="24544BFC"/>
    <w:rsid w:val="245868CE"/>
    <w:rsid w:val="246D35C3"/>
    <w:rsid w:val="246E1688"/>
    <w:rsid w:val="2474250F"/>
    <w:rsid w:val="247C4FC2"/>
    <w:rsid w:val="247E363A"/>
    <w:rsid w:val="247E632F"/>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50052D0"/>
    <w:rsid w:val="25020D7F"/>
    <w:rsid w:val="250C627A"/>
    <w:rsid w:val="250D152E"/>
    <w:rsid w:val="25151733"/>
    <w:rsid w:val="251554D8"/>
    <w:rsid w:val="25183DC1"/>
    <w:rsid w:val="251918D0"/>
    <w:rsid w:val="251F4CFE"/>
    <w:rsid w:val="252D4705"/>
    <w:rsid w:val="25350FCE"/>
    <w:rsid w:val="25364864"/>
    <w:rsid w:val="25367E51"/>
    <w:rsid w:val="253729C1"/>
    <w:rsid w:val="25382763"/>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7342FE"/>
    <w:rsid w:val="2773577D"/>
    <w:rsid w:val="27777E23"/>
    <w:rsid w:val="277B02C6"/>
    <w:rsid w:val="27821D9C"/>
    <w:rsid w:val="27860B41"/>
    <w:rsid w:val="278E0A47"/>
    <w:rsid w:val="279121D8"/>
    <w:rsid w:val="2794232D"/>
    <w:rsid w:val="27A60643"/>
    <w:rsid w:val="27A9577A"/>
    <w:rsid w:val="27B40B8B"/>
    <w:rsid w:val="27BB7D18"/>
    <w:rsid w:val="27BF2614"/>
    <w:rsid w:val="27DA480B"/>
    <w:rsid w:val="27E320C6"/>
    <w:rsid w:val="27E61965"/>
    <w:rsid w:val="27EE2436"/>
    <w:rsid w:val="27EE3EA1"/>
    <w:rsid w:val="27FC5EA0"/>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E5E65"/>
    <w:rsid w:val="28720727"/>
    <w:rsid w:val="28731DF8"/>
    <w:rsid w:val="287F0A90"/>
    <w:rsid w:val="288544BD"/>
    <w:rsid w:val="2886532E"/>
    <w:rsid w:val="288F478B"/>
    <w:rsid w:val="289105F9"/>
    <w:rsid w:val="28962513"/>
    <w:rsid w:val="28966ED1"/>
    <w:rsid w:val="28A475CD"/>
    <w:rsid w:val="28A51B02"/>
    <w:rsid w:val="28B4017A"/>
    <w:rsid w:val="28B51E6D"/>
    <w:rsid w:val="28BD05DE"/>
    <w:rsid w:val="28C15B72"/>
    <w:rsid w:val="28C52BB3"/>
    <w:rsid w:val="28CD52EA"/>
    <w:rsid w:val="28CF2CA7"/>
    <w:rsid w:val="28D62CC7"/>
    <w:rsid w:val="28D70028"/>
    <w:rsid w:val="28DB17E6"/>
    <w:rsid w:val="28DD3BE4"/>
    <w:rsid w:val="28DE6245"/>
    <w:rsid w:val="28E23CBD"/>
    <w:rsid w:val="28E347CC"/>
    <w:rsid w:val="28EA0885"/>
    <w:rsid w:val="28F60D2F"/>
    <w:rsid w:val="28FF39FD"/>
    <w:rsid w:val="29064E8D"/>
    <w:rsid w:val="290C3541"/>
    <w:rsid w:val="290E7A11"/>
    <w:rsid w:val="290F19FA"/>
    <w:rsid w:val="290F750B"/>
    <w:rsid w:val="29152A36"/>
    <w:rsid w:val="291B447E"/>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73530"/>
    <w:rsid w:val="296F7076"/>
    <w:rsid w:val="29715025"/>
    <w:rsid w:val="298C1A5A"/>
    <w:rsid w:val="298D6AFF"/>
    <w:rsid w:val="29967DE1"/>
    <w:rsid w:val="299B7D69"/>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D408B6"/>
    <w:rsid w:val="2AE56C4E"/>
    <w:rsid w:val="2AEE6BF5"/>
    <w:rsid w:val="2AEF1DBC"/>
    <w:rsid w:val="2AF940AB"/>
    <w:rsid w:val="2AFF2EB0"/>
    <w:rsid w:val="2AFF6246"/>
    <w:rsid w:val="2B061E16"/>
    <w:rsid w:val="2B0651DB"/>
    <w:rsid w:val="2B081CE2"/>
    <w:rsid w:val="2B0B7DF6"/>
    <w:rsid w:val="2B0E24FA"/>
    <w:rsid w:val="2B122123"/>
    <w:rsid w:val="2B130886"/>
    <w:rsid w:val="2B1E6496"/>
    <w:rsid w:val="2B2C40EA"/>
    <w:rsid w:val="2B31763F"/>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C47F83"/>
    <w:rsid w:val="2BCD2333"/>
    <w:rsid w:val="2BCF6C34"/>
    <w:rsid w:val="2BD07A7B"/>
    <w:rsid w:val="2BD157A2"/>
    <w:rsid w:val="2BD56B76"/>
    <w:rsid w:val="2BD56CE3"/>
    <w:rsid w:val="2BE03D81"/>
    <w:rsid w:val="2BE314B3"/>
    <w:rsid w:val="2BEC1B8B"/>
    <w:rsid w:val="2BEF1596"/>
    <w:rsid w:val="2BEF60D0"/>
    <w:rsid w:val="2BF43CAA"/>
    <w:rsid w:val="2BFE2BBC"/>
    <w:rsid w:val="2C043FFD"/>
    <w:rsid w:val="2C0913FC"/>
    <w:rsid w:val="2C0D6DE5"/>
    <w:rsid w:val="2C101EE5"/>
    <w:rsid w:val="2C254D3F"/>
    <w:rsid w:val="2C261A7D"/>
    <w:rsid w:val="2C274CE8"/>
    <w:rsid w:val="2C290998"/>
    <w:rsid w:val="2C2D41CA"/>
    <w:rsid w:val="2C3426AA"/>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932127"/>
    <w:rsid w:val="2C9C58AB"/>
    <w:rsid w:val="2CA7026F"/>
    <w:rsid w:val="2CAA115B"/>
    <w:rsid w:val="2CAA28C6"/>
    <w:rsid w:val="2CAA5EA4"/>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74C"/>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E76CE"/>
    <w:rsid w:val="2D6F7EEF"/>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83ACE"/>
    <w:rsid w:val="2DE3126E"/>
    <w:rsid w:val="2DE96ECA"/>
    <w:rsid w:val="2DEC361D"/>
    <w:rsid w:val="2DF40350"/>
    <w:rsid w:val="2DFD25D1"/>
    <w:rsid w:val="2DFD42E1"/>
    <w:rsid w:val="2DFE3435"/>
    <w:rsid w:val="2E1931E7"/>
    <w:rsid w:val="2E281711"/>
    <w:rsid w:val="2E3656F1"/>
    <w:rsid w:val="2E421513"/>
    <w:rsid w:val="2E4222B5"/>
    <w:rsid w:val="2E540FD3"/>
    <w:rsid w:val="2E5962C8"/>
    <w:rsid w:val="2E596301"/>
    <w:rsid w:val="2E596FC7"/>
    <w:rsid w:val="2E5A68F4"/>
    <w:rsid w:val="2E5D1B8D"/>
    <w:rsid w:val="2E603C24"/>
    <w:rsid w:val="2E625789"/>
    <w:rsid w:val="2E63294B"/>
    <w:rsid w:val="2E6B30C9"/>
    <w:rsid w:val="2E6B37B5"/>
    <w:rsid w:val="2E731D91"/>
    <w:rsid w:val="2E825277"/>
    <w:rsid w:val="2E8A073B"/>
    <w:rsid w:val="2E8C1999"/>
    <w:rsid w:val="2E8D13AF"/>
    <w:rsid w:val="2E904A8A"/>
    <w:rsid w:val="2E997981"/>
    <w:rsid w:val="2EA12F6D"/>
    <w:rsid w:val="2EA91956"/>
    <w:rsid w:val="2EAC4449"/>
    <w:rsid w:val="2EB177AD"/>
    <w:rsid w:val="2EBA7E66"/>
    <w:rsid w:val="2EBF694E"/>
    <w:rsid w:val="2EC90753"/>
    <w:rsid w:val="2EC9758F"/>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30D2A"/>
    <w:rsid w:val="2F5B7BF2"/>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B362DF"/>
    <w:rsid w:val="2FB3789D"/>
    <w:rsid w:val="2FC76A8F"/>
    <w:rsid w:val="2FCA3E23"/>
    <w:rsid w:val="2FD10451"/>
    <w:rsid w:val="2FD163D8"/>
    <w:rsid w:val="2FD860F5"/>
    <w:rsid w:val="2FDF2921"/>
    <w:rsid w:val="2FE46613"/>
    <w:rsid w:val="2FE642B3"/>
    <w:rsid w:val="2FEB2174"/>
    <w:rsid w:val="300663FF"/>
    <w:rsid w:val="30086A93"/>
    <w:rsid w:val="300D55ED"/>
    <w:rsid w:val="300D7B1B"/>
    <w:rsid w:val="300F21EC"/>
    <w:rsid w:val="300F767A"/>
    <w:rsid w:val="30176BA2"/>
    <w:rsid w:val="301B4680"/>
    <w:rsid w:val="302719FF"/>
    <w:rsid w:val="302722EF"/>
    <w:rsid w:val="30293768"/>
    <w:rsid w:val="30341BB0"/>
    <w:rsid w:val="303620E5"/>
    <w:rsid w:val="303D0DE2"/>
    <w:rsid w:val="303E7772"/>
    <w:rsid w:val="30436446"/>
    <w:rsid w:val="30464DB9"/>
    <w:rsid w:val="304B2C4A"/>
    <w:rsid w:val="305008C1"/>
    <w:rsid w:val="30580F44"/>
    <w:rsid w:val="305D51AD"/>
    <w:rsid w:val="30601159"/>
    <w:rsid w:val="30616BA5"/>
    <w:rsid w:val="30651A2D"/>
    <w:rsid w:val="30676EC0"/>
    <w:rsid w:val="306C0885"/>
    <w:rsid w:val="306D312F"/>
    <w:rsid w:val="30750481"/>
    <w:rsid w:val="307847F3"/>
    <w:rsid w:val="307942EA"/>
    <w:rsid w:val="307B2FA3"/>
    <w:rsid w:val="307F585F"/>
    <w:rsid w:val="308159F9"/>
    <w:rsid w:val="308172BE"/>
    <w:rsid w:val="308378CE"/>
    <w:rsid w:val="308503C6"/>
    <w:rsid w:val="308B6965"/>
    <w:rsid w:val="308F06FD"/>
    <w:rsid w:val="308F15E0"/>
    <w:rsid w:val="30A55D26"/>
    <w:rsid w:val="30A852D9"/>
    <w:rsid w:val="30AA183B"/>
    <w:rsid w:val="30AB7B68"/>
    <w:rsid w:val="30B001DD"/>
    <w:rsid w:val="30B11949"/>
    <w:rsid w:val="30B47501"/>
    <w:rsid w:val="30C31A45"/>
    <w:rsid w:val="30C71F2B"/>
    <w:rsid w:val="30C76CBF"/>
    <w:rsid w:val="30DC42AB"/>
    <w:rsid w:val="30E068F9"/>
    <w:rsid w:val="30EF2653"/>
    <w:rsid w:val="310E5B69"/>
    <w:rsid w:val="311108E9"/>
    <w:rsid w:val="31130B1C"/>
    <w:rsid w:val="31143422"/>
    <w:rsid w:val="3114758B"/>
    <w:rsid w:val="31177D87"/>
    <w:rsid w:val="312008C2"/>
    <w:rsid w:val="31241CD6"/>
    <w:rsid w:val="312A3D0F"/>
    <w:rsid w:val="312D6D92"/>
    <w:rsid w:val="31311AA0"/>
    <w:rsid w:val="313344AE"/>
    <w:rsid w:val="314A732D"/>
    <w:rsid w:val="315B288C"/>
    <w:rsid w:val="315F34F5"/>
    <w:rsid w:val="31625BD9"/>
    <w:rsid w:val="3165203B"/>
    <w:rsid w:val="31731696"/>
    <w:rsid w:val="317675CF"/>
    <w:rsid w:val="31802145"/>
    <w:rsid w:val="318031E5"/>
    <w:rsid w:val="31846B58"/>
    <w:rsid w:val="318648B5"/>
    <w:rsid w:val="31864A48"/>
    <w:rsid w:val="318B5416"/>
    <w:rsid w:val="319E0737"/>
    <w:rsid w:val="31A65BAC"/>
    <w:rsid w:val="31AA69D6"/>
    <w:rsid w:val="31AD308F"/>
    <w:rsid w:val="31AE79E0"/>
    <w:rsid w:val="31B4506B"/>
    <w:rsid w:val="31B61EDA"/>
    <w:rsid w:val="31B90258"/>
    <w:rsid w:val="31B90360"/>
    <w:rsid w:val="31BD3F4D"/>
    <w:rsid w:val="31C93678"/>
    <w:rsid w:val="31CE242D"/>
    <w:rsid w:val="31D21A2E"/>
    <w:rsid w:val="31D36B4F"/>
    <w:rsid w:val="31D90729"/>
    <w:rsid w:val="31DC4F69"/>
    <w:rsid w:val="31E02076"/>
    <w:rsid w:val="31E847F9"/>
    <w:rsid w:val="31EA2506"/>
    <w:rsid w:val="31F6117F"/>
    <w:rsid w:val="31F636A5"/>
    <w:rsid w:val="31FB24D3"/>
    <w:rsid w:val="32011C66"/>
    <w:rsid w:val="32051BB0"/>
    <w:rsid w:val="320D7BE8"/>
    <w:rsid w:val="32177C99"/>
    <w:rsid w:val="321C0937"/>
    <w:rsid w:val="322F0F01"/>
    <w:rsid w:val="3230496F"/>
    <w:rsid w:val="32307F8D"/>
    <w:rsid w:val="323960B9"/>
    <w:rsid w:val="323C68FB"/>
    <w:rsid w:val="32601098"/>
    <w:rsid w:val="32745E8A"/>
    <w:rsid w:val="32762D3B"/>
    <w:rsid w:val="32790C2E"/>
    <w:rsid w:val="327C74DE"/>
    <w:rsid w:val="327F6D26"/>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92807"/>
    <w:rsid w:val="330438C3"/>
    <w:rsid w:val="330745A8"/>
    <w:rsid w:val="330825B3"/>
    <w:rsid w:val="33092F71"/>
    <w:rsid w:val="330E2CB4"/>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915561"/>
    <w:rsid w:val="33952B15"/>
    <w:rsid w:val="33953748"/>
    <w:rsid w:val="339D641B"/>
    <w:rsid w:val="339F747C"/>
    <w:rsid w:val="33A41288"/>
    <w:rsid w:val="33A75E06"/>
    <w:rsid w:val="33C14525"/>
    <w:rsid w:val="33C979F1"/>
    <w:rsid w:val="33CA72F2"/>
    <w:rsid w:val="33CE34C9"/>
    <w:rsid w:val="33CF32BC"/>
    <w:rsid w:val="33D51CFB"/>
    <w:rsid w:val="33D63892"/>
    <w:rsid w:val="33DA3C12"/>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E3E6B"/>
    <w:rsid w:val="34236595"/>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D6B7F"/>
    <w:rsid w:val="347F6999"/>
    <w:rsid w:val="3492319E"/>
    <w:rsid w:val="34931F95"/>
    <w:rsid w:val="34B1369F"/>
    <w:rsid w:val="34BA11D5"/>
    <w:rsid w:val="34BB104E"/>
    <w:rsid w:val="34BF6630"/>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C1D12"/>
    <w:rsid w:val="359E0193"/>
    <w:rsid w:val="35A13235"/>
    <w:rsid w:val="35A27A3D"/>
    <w:rsid w:val="35B14C48"/>
    <w:rsid w:val="35B66467"/>
    <w:rsid w:val="35B74EE0"/>
    <w:rsid w:val="35B9424B"/>
    <w:rsid w:val="35BE52A4"/>
    <w:rsid w:val="35CD3301"/>
    <w:rsid w:val="35D05B8C"/>
    <w:rsid w:val="35D229D8"/>
    <w:rsid w:val="35D22AB1"/>
    <w:rsid w:val="35D61974"/>
    <w:rsid w:val="35DC07B2"/>
    <w:rsid w:val="35E569D0"/>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61561B"/>
    <w:rsid w:val="3663158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A260C"/>
    <w:rsid w:val="36AC07F0"/>
    <w:rsid w:val="36B074A1"/>
    <w:rsid w:val="36B67671"/>
    <w:rsid w:val="36B83DA7"/>
    <w:rsid w:val="36B85A7D"/>
    <w:rsid w:val="36BB013A"/>
    <w:rsid w:val="36C4288E"/>
    <w:rsid w:val="36C73BE1"/>
    <w:rsid w:val="36D32134"/>
    <w:rsid w:val="36D6408C"/>
    <w:rsid w:val="36D76DB6"/>
    <w:rsid w:val="36D774C8"/>
    <w:rsid w:val="36DB0B2D"/>
    <w:rsid w:val="36E35AD2"/>
    <w:rsid w:val="36F2275F"/>
    <w:rsid w:val="36F62B81"/>
    <w:rsid w:val="36F62C74"/>
    <w:rsid w:val="36FB257D"/>
    <w:rsid w:val="3705353A"/>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370B3"/>
    <w:rsid w:val="37497D6C"/>
    <w:rsid w:val="3750226C"/>
    <w:rsid w:val="37502818"/>
    <w:rsid w:val="375127CE"/>
    <w:rsid w:val="37513D01"/>
    <w:rsid w:val="37535CB6"/>
    <w:rsid w:val="375C30D2"/>
    <w:rsid w:val="376C5889"/>
    <w:rsid w:val="376D30B7"/>
    <w:rsid w:val="376F3C3D"/>
    <w:rsid w:val="37777509"/>
    <w:rsid w:val="37782D0E"/>
    <w:rsid w:val="377A2230"/>
    <w:rsid w:val="377D5303"/>
    <w:rsid w:val="37825324"/>
    <w:rsid w:val="378B0327"/>
    <w:rsid w:val="378E0749"/>
    <w:rsid w:val="37961346"/>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F2418D"/>
    <w:rsid w:val="3803718F"/>
    <w:rsid w:val="38091FFF"/>
    <w:rsid w:val="3809520B"/>
    <w:rsid w:val="380F6701"/>
    <w:rsid w:val="38124A9D"/>
    <w:rsid w:val="38204A20"/>
    <w:rsid w:val="38241F4A"/>
    <w:rsid w:val="382474BE"/>
    <w:rsid w:val="38310D30"/>
    <w:rsid w:val="38465EFC"/>
    <w:rsid w:val="38470572"/>
    <w:rsid w:val="38487E16"/>
    <w:rsid w:val="385035FF"/>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4702E"/>
    <w:rsid w:val="39887A03"/>
    <w:rsid w:val="398D258D"/>
    <w:rsid w:val="39A04307"/>
    <w:rsid w:val="39A703A5"/>
    <w:rsid w:val="39AD2665"/>
    <w:rsid w:val="39C00132"/>
    <w:rsid w:val="39C00658"/>
    <w:rsid w:val="39C34A83"/>
    <w:rsid w:val="39C876AA"/>
    <w:rsid w:val="39D0329F"/>
    <w:rsid w:val="39D644B1"/>
    <w:rsid w:val="39DE4386"/>
    <w:rsid w:val="39E61B89"/>
    <w:rsid w:val="39ED27A3"/>
    <w:rsid w:val="39FA2804"/>
    <w:rsid w:val="39FB0E30"/>
    <w:rsid w:val="39FB49A1"/>
    <w:rsid w:val="3A003BFB"/>
    <w:rsid w:val="3A0112A2"/>
    <w:rsid w:val="3A0409BB"/>
    <w:rsid w:val="3A051F41"/>
    <w:rsid w:val="3A054A83"/>
    <w:rsid w:val="3A107A70"/>
    <w:rsid w:val="3A1C5DF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913FD"/>
    <w:rsid w:val="3AA931B5"/>
    <w:rsid w:val="3AAF313A"/>
    <w:rsid w:val="3AAF360B"/>
    <w:rsid w:val="3AB24182"/>
    <w:rsid w:val="3AB66707"/>
    <w:rsid w:val="3ABD5C93"/>
    <w:rsid w:val="3ABE42D8"/>
    <w:rsid w:val="3ABE7AA6"/>
    <w:rsid w:val="3AC7482E"/>
    <w:rsid w:val="3AD83A9E"/>
    <w:rsid w:val="3ADD4A23"/>
    <w:rsid w:val="3ADF6377"/>
    <w:rsid w:val="3AE1451D"/>
    <w:rsid w:val="3AE52C73"/>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B6A77"/>
    <w:rsid w:val="3C6D5054"/>
    <w:rsid w:val="3C705F26"/>
    <w:rsid w:val="3C7D236C"/>
    <w:rsid w:val="3C914E1A"/>
    <w:rsid w:val="3C961419"/>
    <w:rsid w:val="3CA12CEA"/>
    <w:rsid w:val="3CA1514C"/>
    <w:rsid w:val="3CA40A32"/>
    <w:rsid w:val="3CAE61AF"/>
    <w:rsid w:val="3CC13333"/>
    <w:rsid w:val="3CCB357A"/>
    <w:rsid w:val="3CD259B2"/>
    <w:rsid w:val="3CDF6131"/>
    <w:rsid w:val="3CE712DC"/>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A120B"/>
    <w:rsid w:val="3D4E3E7A"/>
    <w:rsid w:val="3D4E400A"/>
    <w:rsid w:val="3D5D4227"/>
    <w:rsid w:val="3D6C28B1"/>
    <w:rsid w:val="3D6F52B4"/>
    <w:rsid w:val="3D7555CB"/>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73E2E"/>
    <w:rsid w:val="3DD80FBA"/>
    <w:rsid w:val="3DD847EF"/>
    <w:rsid w:val="3DE54197"/>
    <w:rsid w:val="3DE66CAD"/>
    <w:rsid w:val="3DEC2125"/>
    <w:rsid w:val="3DED756C"/>
    <w:rsid w:val="3DED75BC"/>
    <w:rsid w:val="3DF57E83"/>
    <w:rsid w:val="3DFB714F"/>
    <w:rsid w:val="3E0179CF"/>
    <w:rsid w:val="3E05565D"/>
    <w:rsid w:val="3E09196F"/>
    <w:rsid w:val="3E0E3CD1"/>
    <w:rsid w:val="3E104B56"/>
    <w:rsid w:val="3E11500B"/>
    <w:rsid w:val="3E121C70"/>
    <w:rsid w:val="3E153ADD"/>
    <w:rsid w:val="3E1C416D"/>
    <w:rsid w:val="3E1F13F2"/>
    <w:rsid w:val="3E2B0F56"/>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B597C"/>
    <w:rsid w:val="3E7D3EE4"/>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B1E79"/>
    <w:rsid w:val="3ED12E9B"/>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A32BF"/>
    <w:rsid w:val="3FBD05DF"/>
    <w:rsid w:val="3FC05D9C"/>
    <w:rsid w:val="3FC55E1B"/>
    <w:rsid w:val="3FC5687C"/>
    <w:rsid w:val="3FC72CB0"/>
    <w:rsid w:val="3FC76C8B"/>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40024B70"/>
    <w:rsid w:val="40101A85"/>
    <w:rsid w:val="401360FA"/>
    <w:rsid w:val="40177CAF"/>
    <w:rsid w:val="401B6747"/>
    <w:rsid w:val="40227A69"/>
    <w:rsid w:val="40255D56"/>
    <w:rsid w:val="402A1B16"/>
    <w:rsid w:val="402B5DF5"/>
    <w:rsid w:val="402F51DE"/>
    <w:rsid w:val="403741A7"/>
    <w:rsid w:val="403A4F03"/>
    <w:rsid w:val="40411392"/>
    <w:rsid w:val="4049221A"/>
    <w:rsid w:val="404A0209"/>
    <w:rsid w:val="404A2F89"/>
    <w:rsid w:val="40595714"/>
    <w:rsid w:val="406177D9"/>
    <w:rsid w:val="40635377"/>
    <w:rsid w:val="406A3621"/>
    <w:rsid w:val="407066C3"/>
    <w:rsid w:val="40775EFD"/>
    <w:rsid w:val="407A080F"/>
    <w:rsid w:val="407B3D06"/>
    <w:rsid w:val="40844021"/>
    <w:rsid w:val="408604AB"/>
    <w:rsid w:val="40891323"/>
    <w:rsid w:val="408F6C4D"/>
    <w:rsid w:val="40924A6B"/>
    <w:rsid w:val="4097144A"/>
    <w:rsid w:val="40A27041"/>
    <w:rsid w:val="40A84378"/>
    <w:rsid w:val="40AB4BB4"/>
    <w:rsid w:val="40B24A84"/>
    <w:rsid w:val="40BB567D"/>
    <w:rsid w:val="40BF2A94"/>
    <w:rsid w:val="40C103B9"/>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814CC"/>
    <w:rsid w:val="41090D7C"/>
    <w:rsid w:val="410A0556"/>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C1602"/>
    <w:rsid w:val="41AC37E7"/>
    <w:rsid w:val="41AD27F9"/>
    <w:rsid w:val="41AE1A67"/>
    <w:rsid w:val="41B019C7"/>
    <w:rsid w:val="41B514A9"/>
    <w:rsid w:val="41B61AB1"/>
    <w:rsid w:val="41C12AA3"/>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E7A97"/>
    <w:rsid w:val="421F0F55"/>
    <w:rsid w:val="421F2718"/>
    <w:rsid w:val="422B1696"/>
    <w:rsid w:val="42331624"/>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D0067"/>
    <w:rsid w:val="42E502F5"/>
    <w:rsid w:val="42E87402"/>
    <w:rsid w:val="42EB6D52"/>
    <w:rsid w:val="43021632"/>
    <w:rsid w:val="43072A65"/>
    <w:rsid w:val="43092E10"/>
    <w:rsid w:val="430A27B3"/>
    <w:rsid w:val="430B5D6E"/>
    <w:rsid w:val="431049B1"/>
    <w:rsid w:val="431B3898"/>
    <w:rsid w:val="4322345A"/>
    <w:rsid w:val="43231966"/>
    <w:rsid w:val="43232B12"/>
    <w:rsid w:val="43273F04"/>
    <w:rsid w:val="432A7A55"/>
    <w:rsid w:val="43332BD3"/>
    <w:rsid w:val="43367CDF"/>
    <w:rsid w:val="433E6455"/>
    <w:rsid w:val="434425F8"/>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926C0"/>
    <w:rsid w:val="439D2829"/>
    <w:rsid w:val="43A169B7"/>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34580"/>
    <w:rsid w:val="44535ADB"/>
    <w:rsid w:val="44570410"/>
    <w:rsid w:val="445E7171"/>
    <w:rsid w:val="445F38CD"/>
    <w:rsid w:val="44607765"/>
    <w:rsid w:val="4469781B"/>
    <w:rsid w:val="446B012C"/>
    <w:rsid w:val="44724C49"/>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F0E18"/>
    <w:rsid w:val="44F05A97"/>
    <w:rsid w:val="44F45801"/>
    <w:rsid w:val="44FA3828"/>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806FF"/>
    <w:rsid w:val="45AE4807"/>
    <w:rsid w:val="45B81980"/>
    <w:rsid w:val="45C0090A"/>
    <w:rsid w:val="45C2287C"/>
    <w:rsid w:val="45C647F0"/>
    <w:rsid w:val="45CB1DBD"/>
    <w:rsid w:val="45D13678"/>
    <w:rsid w:val="45E3280A"/>
    <w:rsid w:val="45F46BD5"/>
    <w:rsid w:val="45F9658B"/>
    <w:rsid w:val="460901E2"/>
    <w:rsid w:val="460E70F2"/>
    <w:rsid w:val="46300ECC"/>
    <w:rsid w:val="46333D16"/>
    <w:rsid w:val="46340BB8"/>
    <w:rsid w:val="463A512E"/>
    <w:rsid w:val="46472534"/>
    <w:rsid w:val="464B1BCE"/>
    <w:rsid w:val="465A3C55"/>
    <w:rsid w:val="465E45BA"/>
    <w:rsid w:val="465E4A48"/>
    <w:rsid w:val="46601C9C"/>
    <w:rsid w:val="466615E3"/>
    <w:rsid w:val="466D0B7B"/>
    <w:rsid w:val="468B66C1"/>
    <w:rsid w:val="469400A8"/>
    <w:rsid w:val="46953C13"/>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B1DAE"/>
    <w:rsid w:val="47001B66"/>
    <w:rsid w:val="47093AE6"/>
    <w:rsid w:val="470C6DA6"/>
    <w:rsid w:val="470E762E"/>
    <w:rsid w:val="471068CA"/>
    <w:rsid w:val="4712134D"/>
    <w:rsid w:val="471221B2"/>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753A8"/>
    <w:rsid w:val="47586FED"/>
    <w:rsid w:val="475E470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52006"/>
    <w:rsid w:val="47B633CA"/>
    <w:rsid w:val="47BC3738"/>
    <w:rsid w:val="47BD5C18"/>
    <w:rsid w:val="47C71CAB"/>
    <w:rsid w:val="47C72802"/>
    <w:rsid w:val="47CD2BC5"/>
    <w:rsid w:val="47CF2DA8"/>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657A1"/>
    <w:rsid w:val="488B279E"/>
    <w:rsid w:val="488C67B6"/>
    <w:rsid w:val="489D1A1D"/>
    <w:rsid w:val="48A46169"/>
    <w:rsid w:val="48A5233A"/>
    <w:rsid w:val="48B32DFD"/>
    <w:rsid w:val="48B707D0"/>
    <w:rsid w:val="48C27A4C"/>
    <w:rsid w:val="48C43321"/>
    <w:rsid w:val="48C63B56"/>
    <w:rsid w:val="48D0509E"/>
    <w:rsid w:val="48DB1003"/>
    <w:rsid w:val="48E10B93"/>
    <w:rsid w:val="48ED742E"/>
    <w:rsid w:val="48EF18C9"/>
    <w:rsid w:val="48F82359"/>
    <w:rsid w:val="48FB40DA"/>
    <w:rsid w:val="48FD5F69"/>
    <w:rsid w:val="49004F9E"/>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737639"/>
    <w:rsid w:val="497A4AAC"/>
    <w:rsid w:val="497D0172"/>
    <w:rsid w:val="49802354"/>
    <w:rsid w:val="498B628E"/>
    <w:rsid w:val="49963E14"/>
    <w:rsid w:val="49967804"/>
    <w:rsid w:val="499721AD"/>
    <w:rsid w:val="499762DC"/>
    <w:rsid w:val="49980409"/>
    <w:rsid w:val="499C0F2B"/>
    <w:rsid w:val="49A47274"/>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D60CC"/>
    <w:rsid w:val="4A0E2231"/>
    <w:rsid w:val="4A151985"/>
    <w:rsid w:val="4A183223"/>
    <w:rsid w:val="4A192C32"/>
    <w:rsid w:val="4A1C0D1E"/>
    <w:rsid w:val="4A1D2BB3"/>
    <w:rsid w:val="4A201730"/>
    <w:rsid w:val="4A226DCB"/>
    <w:rsid w:val="4A2361B1"/>
    <w:rsid w:val="4A246681"/>
    <w:rsid w:val="4A2E3165"/>
    <w:rsid w:val="4A33337A"/>
    <w:rsid w:val="4A375652"/>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65085"/>
    <w:rsid w:val="4A9222F5"/>
    <w:rsid w:val="4A923056"/>
    <w:rsid w:val="4AA14A86"/>
    <w:rsid w:val="4AA43A1F"/>
    <w:rsid w:val="4AAC3954"/>
    <w:rsid w:val="4AB33224"/>
    <w:rsid w:val="4AB61230"/>
    <w:rsid w:val="4AB71223"/>
    <w:rsid w:val="4ABB09B7"/>
    <w:rsid w:val="4ACF133B"/>
    <w:rsid w:val="4AD13278"/>
    <w:rsid w:val="4AD67579"/>
    <w:rsid w:val="4AE04436"/>
    <w:rsid w:val="4AE54455"/>
    <w:rsid w:val="4AE611E2"/>
    <w:rsid w:val="4AEA6393"/>
    <w:rsid w:val="4AEF0DD0"/>
    <w:rsid w:val="4AF17E98"/>
    <w:rsid w:val="4AF50A41"/>
    <w:rsid w:val="4AFB18B0"/>
    <w:rsid w:val="4B033329"/>
    <w:rsid w:val="4B07269D"/>
    <w:rsid w:val="4B092A4D"/>
    <w:rsid w:val="4B131851"/>
    <w:rsid w:val="4B1961E1"/>
    <w:rsid w:val="4B273C96"/>
    <w:rsid w:val="4B2E7802"/>
    <w:rsid w:val="4B303F35"/>
    <w:rsid w:val="4B337754"/>
    <w:rsid w:val="4B3C7B12"/>
    <w:rsid w:val="4B3E514A"/>
    <w:rsid w:val="4B405B8A"/>
    <w:rsid w:val="4B4668DC"/>
    <w:rsid w:val="4B532F78"/>
    <w:rsid w:val="4B5F454F"/>
    <w:rsid w:val="4B6978BA"/>
    <w:rsid w:val="4B712C4F"/>
    <w:rsid w:val="4B753B02"/>
    <w:rsid w:val="4B771B2F"/>
    <w:rsid w:val="4B7D65E4"/>
    <w:rsid w:val="4B800228"/>
    <w:rsid w:val="4B83536F"/>
    <w:rsid w:val="4B895755"/>
    <w:rsid w:val="4B897210"/>
    <w:rsid w:val="4B8E440D"/>
    <w:rsid w:val="4B8F4628"/>
    <w:rsid w:val="4BA42BD9"/>
    <w:rsid w:val="4BAE122E"/>
    <w:rsid w:val="4BBC02D7"/>
    <w:rsid w:val="4BC12B18"/>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22434"/>
    <w:rsid w:val="4D3A6803"/>
    <w:rsid w:val="4D3E1F5E"/>
    <w:rsid w:val="4D4F6840"/>
    <w:rsid w:val="4D510C1A"/>
    <w:rsid w:val="4D537F79"/>
    <w:rsid w:val="4D5435D1"/>
    <w:rsid w:val="4D583778"/>
    <w:rsid w:val="4D5D3F9F"/>
    <w:rsid w:val="4D5F1D6B"/>
    <w:rsid w:val="4D623995"/>
    <w:rsid w:val="4D653D24"/>
    <w:rsid w:val="4D6E4167"/>
    <w:rsid w:val="4D7300B7"/>
    <w:rsid w:val="4D7A7B9A"/>
    <w:rsid w:val="4D806E2B"/>
    <w:rsid w:val="4D814417"/>
    <w:rsid w:val="4D817CA8"/>
    <w:rsid w:val="4D86521D"/>
    <w:rsid w:val="4D8733CA"/>
    <w:rsid w:val="4D891189"/>
    <w:rsid w:val="4D913378"/>
    <w:rsid w:val="4D9532EE"/>
    <w:rsid w:val="4D961A7E"/>
    <w:rsid w:val="4D9D6C26"/>
    <w:rsid w:val="4D9E1302"/>
    <w:rsid w:val="4DA213F9"/>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6077"/>
    <w:rsid w:val="4F14132F"/>
    <w:rsid w:val="4F163FBA"/>
    <w:rsid w:val="4F195EE2"/>
    <w:rsid w:val="4F1B2E4E"/>
    <w:rsid w:val="4F327290"/>
    <w:rsid w:val="4F3A1522"/>
    <w:rsid w:val="4F3A454E"/>
    <w:rsid w:val="4F41097C"/>
    <w:rsid w:val="4F4137B3"/>
    <w:rsid w:val="4F482860"/>
    <w:rsid w:val="4F487299"/>
    <w:rsid w:val="4F4A1A20"/>
    <w:rsid w:val="4F4E2A7B"/>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B36127"/>
    <w:rsid w:val="4FB758B2"/>
    <w:rsid w:val="4FC94AF2"/>
    <w:rsid w:val="4FCB5260"/>
    <w:rsid w:val="4FCB650F"/>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7B60"/>
    <w:rsid w:val="50186DCC"/>
    <w:rsid w:val="50325A21"/>
    <w:rsid w:val="50337DE4"/>
    <w:rsid w:val="503A4A06"/>
    <w:rsid w:val="504827D0"/>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9029E8"/>
    <w:rsid w:val="509254DF"/>
    <w:rsid w:val="50940432"/>
    <w:rsid w:val="5099452D"/>
    <w:rsid w:val="509B7833"/>
    <w:rsid w:val="509E6025"/>
    <w:rsid w:val="50A27CE2"/>
    <w:rsid w:val="50AB3438"/>
    <w:rsid w:val="50B93693"/>
    <w:rsid w:val="50BA537E"/>
    <w:rsid w:val="50BD1960"/>
    <w:rsid w:val="50C141E4"/>
    <w:rsid w:val="50C234E3"/>
    <w:rsid w:val="50C563FB"/>
    <w:rsid w:val="50C862F8"/>
    <w:rsid w:val="50D268DF"/>
    <w:rsid w:val="50D32DBC"/>
    <w:rsid w:val="50DA0DE1"/>
    <w:rsid w:val="50DE003A"/>
    <w:rsid w:val="50E850A8"/>
    <w:rsid w:val="50EE1F92"/>
    <w:rsid w:val="51085839"/>
    <w:rsid w:val="51085F1B"/>
    <w:rsid w:val="510A4ABF"/>
    <w:rsid w:val="511749CA"/>
    <w:rsid w:val="51176F32"/>
    <w:rsid w:val="511B57BF"/>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37051"/>
    <w:rsid w:val="51B44B36"/>
    <w:rsid w:val="51B51E93"/>
    <w:rsid w:val="51BC7B58"/>
    <w:rsid w:val="51C10EBB"/>
    <w:rsid w:val="51C436C9"/>
    <w:rsid w:val="51DA4E91"/>
    <w:rsid w:val="51DF24D3"/>
    <w:rsid w:val="51E96BB5"/>
    <w:rsid w:val="51EF47CF"/>
    <w:rsid w:val="51FF7286"/>
    <w:rsid w:val="5207265A"/>
    <w:rsid w:val="521153DD"/>
    <w:rsid w:val="521A6B40"/>
    <w:rsid w:val="521C7DEC"/>
    <w:rsid w:val="52345124"/>
    <w:rsid w:val="523A44B9"/>
    <w:rsid w:val="523E191D"/>
    <w:rsid w:val="52427E0F"/>
    <w:rsid w:val="524679A7"/>
    <w:rsid w:val="525734FF"/>
    <w:rsid w:val="52574D1E"/>
    <w:rsid w:val="52595D17"/>
    <w:rsid w:val="525A7FC2"/>
    <w:rsid w:val="525C0A6D"/>
    <w:rsid w:val="52631DD3"/>
    <w:rsid w:val="52651931"/>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A2F06"/>
    <w:rsid w:val="533B4476"/>
    <w:rsid w:val="533C1ABE"/>
    <w:rsid w:val="5347181F"/>
    <w:rsid w:val="53497F2F"/>
    <w:rsid w:val="534A0837"/>
    <w:rsid w:val="534D0A97"/>
    <w:rsid w:val="53573D26"/>
    <w:rsid w:val="53601B39"/>
    <w:rsid w:val="536833D0"/>
    <w:rsid w:val="5369043F"/>
    <w:rsid w:val="536F406D"/>
    <w:rsid w:val="537C5062"/>
    <w:rsid w:val="537D0CE9"/>
    <w:rsid w:val="538051E9"/>
    <w:rsid w:val="53834FC0"/>
    <w:rsid w:val="53961443"/>
    <w:rsid w:val="53A37A08"/>
    <w:rsid w:val="53A756C3"/>
    <w:rsid w:val="53AC7990"/>
    <w:rsid w:val="53B27316"/>
    <w:rsid w:val="53B425A2"/>
    <w:rsid w:val="53B47FF2"/>
    <w:rsid w:val="53B51C0D"/>
    <w:rsid w:val="53B53851"/>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312A9"/>
    <w:rsid w:val="547475CB"/>
    <w:rsid w:val="547A5E91"/>
    <w:rsid w:val="548A4E03"/>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F651B3"/>
    <w:rsid w:val="54F66DE2"/>
    <w:rsid w:val="55067A91"/>
    <w:rsid w:val="5514461C"/>
    <w:rsid w:val="551D5716"/>
    <w:rsid w:val="551E5F55"/>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E71247"/>
    <w:rsid w:val="55F13216"/>
    <w:rsid w:val="55F53DC2"/>
    <w:rsid w:val="55FB38C2"/>
    <w:rsid w:val="55FB4CD1"/>
    <w:rsid w:val="56053A66"/>
    <w:rsid w:val="560B7B72"/>
    <w:rsid w:val="560C7E69"/>
    <w:rsid w:val="56154A4C"/>
    <w:rsid w:val="561F640A"/>
    <w:rsid w:val="56215F3C"/>
    <w:rsid w:val="562E3095"/>
    <w:rsid w:val="563C5D74"/>
    <w:rsid w:val="563D4E7F"/>
    <w:rsid w:val="56416CC2"/>
    <w:rsid w:val="564E1154"/>
    <w:rsid w:val="565209A5"/>
    <w:rsid w:val="565F174D"/>
    <w:rsid w:val="56614984"/>
    <w:rsid w:val="56624253"/>
    <w:rsid w:val="56632FA6"/>
    <w:rsid w:val="56661C41"/>
    <w:rsid w:val="566A381A"/>
    <w:rsid w:val="56744CC5"/>
    <w:rsid w:val="567763EB"/>
    <w:rsid w:val="567B199A"/>
    <w:rsid w:val="568647E1"/>
    <w:rsid w:val="56930E45"/>
    <w:rsid w:val="56946A26"/>
    <w:rsid w:val="56953D4F"/>
    <w:rsid w:val="56975CE1"/>
    <w:rsid w:val="569D5512"/>
    <w:rsid w:val="56A01322"/>
    <w:rsid w:val="56A45DC2"/>
    <w:rsid w:val="56BD1AE8"/>
    <w:rsid w:val="56BF5743"/>
    <w:rsid w:val="56C27DE2"/>
    <w:rsid w:val="56C349BD"/>
    <w:rsid w:val="56C40E49"/>
    <w:rsid w:val="56C4498B"/>
    <w:rsid w:val="56CC6FA0"/>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B091F"/>
    <w:rsid w:val="57D6465B"/>
    <w:rsid w:val="57DC28D9"/>
    <w:rsid w:val="57E43A4F"/>
    <w:rsid w:val="57F008BC"/>
    <w:rsid w:val="57F155CB"/>
    <w:rsid w:val="57F279DE"/>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E7A63"/>
    <w:rsid w:val="58711673"/>
    <w:rsid w:val="58802421"/>
    <w:rsid w:val="588D1666"/>
    <w:rsid w:val="588F71C9"/>
    <w:rsid w:val="58914185"/>
    <w:rsid w:val="58920F1B"/>
    <w:rsid w:val="58AB69E5"/>
    <w:rsid w:val="58B167FD"/>
    <w:rsid w:val="58B513F7"/>
    <w:rsid w:val="58C0497A"/>
    <w:rsid w:val="58C564A5"/>
    <w:rsid w:val="58CC003F"/>
    <w:rsid w:val="58CD7B88"/>
    <w:rsid w:val="58CD7B89"/>
    <w:rsid w:val="58D10DDD"/>
    <w:rsid w:val="58D12092"/>
    <w:rsid w:val="58D52C82"/>
    <w:rsid w:val="58D540F7"/>
    <w:rsid w:val="58D5513C"/>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61373"/>
    <w:rsid w:val="59561D93"/>
    <w:rsid w:val="595F11CB"/>
    <w:rsid w:val="59634BE6"/>
    <w:rsid w:val="5965617A"/>
    <w:rsid w:val="596654C9"/>
    <w:rsid w:val="5977122A"/>
    <w:rsid w:val="597A7604"/>
    <w:rsid w:val="59822C29"/>
    <w:rsid w:val="59827068"/>
    <w:rsid w:val="59873E19"/>
    <w:rsid w:val="598A4267"/>
    <w:rsid w:val="599852BD"/>
    <w:rsid w:val="599C5353"/>
    <w:rsid w:val="59A379DA"/>
    <w:rsid w:val="59A727AE"/>
    <w:rsid w:val="59AA1BC7"/>
    <w:rsid w:val="59C10669"/>
    <w:rsid w:val="59C86714"/>
    <w:rsid w:val="59CF05F4"/>
    <w:rsid w:val="59D40772"/>
    <w:rsid w:val="59D713B0"/>
    <w:rsid w:val="59DA51E0"/>
    <w:rsid w:val="59DD71E5"/>
    <w:rsid w:val="59E43422"/>
    <w:rsid w:val="59E632A9"/>
    <w:rsid w:val="59E9788B"/>
    <w:rsid w:val="59F74824"/>
    <w:rsid w:val="59F811A8"/>
    <w:rsid w:val="59FB230B"/>
    <w:rsid w:val="59FE3C34"/>
    <w:rsid w:val="5A02157D"/>
    <w:rsid w:val="5A0A31D0"/>
    <w:rsid w:val="5A1034D6"/>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83C22"/>
    <w:rsid w:val="5B1D3757"/>
    <w:rsid w:val="5B217D0A"/>
    <w:rsid w:val="5B276FBD"/>
    <w:rsid w:val="5B2F6C65"/>
    <w:rsid w:val="5B3B1A3B"/>
    <w:rsid w:val="5B3F5E85"/>
    <w:rsid w:val="5B461140"/>
    <w:rsid w:val="5B544C09"/>
    <w:rsid w:val="5B546635"/>
    <w:rsid w:val="5B591FEE"/>
    <w:rsid w:val="5B5D6360"/>
    <w:rsid w:val="5B650C24"/>
    <w:rsid w:val="5B6C1370"/>
    <w:rsid w:val="5B700C48"/>
    <w:rsid w:val="5B762836"/>
    <w:rsid w:val="5B861DFE"/>
    <w:rsid w:val="5B8B4481"/>
    <w:rsid w:val="5B8F3139"/>
    <w:rsid w:val="5B8F6725"/>
    <w:rsid w:val="5B961544"/>
    <w:rsid w:val="5B9C0BB9"/>
    <w:rsid w:val="5B9D2958"/>
    <w:rsid w:val="5BAA1566"/>
    <w:rsid w:val="5BAC5FEF"/>
    <w:rsid w:val="5BAC660D"/>
    <w:rsid w:val="5BB90A97"/>
    <w:rsid w:val="5BC80573"/>
    <w:rsid w:val="5BC973B5"/>
    <w:rsid w:val="5BCC4604"/>
    <w:rsid w:val="5BD17E46"/>
    <w:rsid w:val="5BDE3DC3"/>
    <w:rsid w:val="5BE2378B"/>
    <w:rsid w:val="5BEB318B"/>
    <w:rsid w:val="5BEB5A0B"/>
    <w:rsid w:val="5BEC2285"/>
    <w:rsid w:val="5BFA1A95"/>
    <w:rsid w:val="5BFB4AA1"/>
    <w:rsid w:val="5BFD39FA"/>
    <w:rsid w:val="5C0347DA"/>
    <w:rsid w:val="5C071023"/>
    <w:rsid w:val="5C144649"/>
    <w:rsid w:val="5C211940"/>
    <w:rsid w:val="5C23504C"/>
    <w:rsid w:val="5C2C0B98"/>
    <w:rsid w:val="5C352582"/>
    <w:rsid w:val="5C360489"/>
    <w:rsid w:val="5C3767CF"/>
    <w:rsid w:val="5C390577"/>
    <w:rsid w:val="5C45707D"/>
    <w:rsid w:val="5C471B1A"/>
    <w:rsid w:val="5C4E5CA1"/>
    <w:rsid w:val="5C52761C"/>
    <w:rsid w:val="5C5603E6"/>
    <w:rsid w:val="5C5773AF"/>
    <w:rsid w:val="5C652DBF"/>
    <w:rsid w:val="5C6D7E3F"/>
    <w:rsid w:val="5C6E6CFA"/>
    <w:rsid w:val="5C7250FC"/>
    <w:rsid w:val="5C766449"/>
    <w:rsid w:val="5C880935"/>
    <w:rsid w:val="5C8910A1"/>
    <w:rsid w:val="5C8E4CB9"/>
    <w:rsid w:val="5C915347"/>
    <w:rsid w:val="5CB70F5B"/>
    <w:rsid w:val="5CBE6A7F"/>
    <w:rsid w:val="5CC03AD8"/>
    <w:rsid w:val="5CC13B5F"/>
    <w:rsid w:val="5CC350B6"/>
    <w:rsid w:val="5CC40640"/>
    <w:rsid w:val="5CC5501F"/>
    <w:rsid w:val="5CCD5AF3"/>
    <w:rsid w:val="5CD87406"/>
    <w:rsid w:val="5CDB61B3"/>
    <w:rsid w:val="5CE12FA2"/>
    <w:rsid w:val="5CE37A0C"/>
    <w:rsid w:val="5CE47EB3"/>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71915"/>
    <w:rsid w:val="5D1A0064"/>
    <w:rsid w:val="5D1E048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7013D1"/>
    <w:rsid w:val="5D717DBF"/>
    <w:rsid w:val="5D763D0D"/>
    <w:rsid w:val="5D7F4B1E"/>
    <w:rsid w:val="5D810355"/>
    <w:rsid w:val="5D843249"/>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B3F99"/>
    <w:rsid w:val="5ECD3498"/>
    <w:rsid w:val="5ED70F57"/>
    <w:rsid w:val="5EDD6588"/>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615247"/>
    <w:rsid w:val="5F6A5A0A"/>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C23A38"/>
    <w:rsid w:val="5FC458D2"/>
    <w:rsid w:val="5FCE6F1E"/>
    <w:rsid w:val="5FD91C36"/>
    <w:rsid w:val="5FE80E96"/>
    <w:rsid w:val="5FE96661"/>
    <w:rsid w:val="5FF44B73"/>
    <w:rsid w:val="5FF70698"/>
    <w:rsid w:val="5FFC2AE4"/>
    <w:rsid w:val="60052229"/>
    <w:rsid w:val="60070FA0"/>
    <w:rsid w:val="6007379D"/>
    <w:rsid w:val="60085C69"/>
    <w:rsid w:val="600B1124"/>
    <w:rsid w:val="601079C8"/>
    <w:rsid w:val="601441AB"/>
    <w:rsid w:val="6016135E"/>
    <w:rsid w:val="60255BF0"/>
    <w:rsid w:val="602961E3"/>
    <w:rsid w:val="602B5AF6"/>
    <w:rsid w:val="602F51EE"/>
    <w:rsid w:val="6039674B"/>
    <w:rsid w:val="60396D53"/>
    <w:rsid w:val="60460B23"/>
    <w:rsid w:val="60475A2A"/>
    <w:rsid w:val="6051492B"/>
    <w:rsid w:val="60541C8D"/>
    <w:rsid w:val="605845B7"/>
    <w:rsid w:val="605B3E1A"/>
    <w:rsid w:val="605B3F87"/>
    <w:rsid w:val="60612E69"/>
    <w:rsid w:val="6064351F"/>
    <w:rsid w:val="606D2ECB"/>
    <w:rsid w:val="60732D14"/>
    <w:rsid w:val="607524D0"/>
    <w:rsid w:val="60790820"/>
    <w:rsid w:val="607D133A"/>
    <w:rsid w:val="60873830"/>
    <w:rsid w:val="608C48FA"/>
    <w:rsid w:val="608C7C9B"/>
    <w:rsid w:val="608D00EE"/>
    <w:rsid w:val="60934A43"/>
    <w:rsid w:val="609457A2"/>
    <w:rsid w:val="609542E0"/>
    <w:rsid w:val="60A759FE"/>
    <w:rsid w:val="60B17E63"/>
    <w:rsid w:val="60B40EFB"/>
    <w:rsid w:val="60BA3688"/>
    <w:rsid w:val="60BE3A10"/>
    <w:rsid w:val="60BE7F1C"/>
    <w:rsid w:val="60C00D53"/>
    <w:rsid w:val="60C41F6D"/>
    <w:rsid w:val="60C66A6E"/>
    <w:rsid w:val="60D44DA5"/>
    <w:rsid w:val="60DC2AE2"/>
    <w:rsid w:val="60DE494B"/>
    <w:rsid w:val="60E0373A"/>
    <w:rsid w:val="60E264E0"/>
    <w:rsid w:val="60E33A55"/>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62AB"/>
    <w:rsid w:val="616057FE"/>
    <w:rsid w:val="61622160"/>
    <w:rsid w:val="61636137"/>
    <w:rsid w:val="61672D96"/>
    <w:rsid w:val="616B249B"/>
    <w:rsid w:val="617666B2"/>
    <w:rsid w:val="617830BA"/>
    <w:rsid w:val="617F7B7F"/>
    <w:rsid w:val="618B6A17"/>
    <w:rsid w:val="618D7F78"/>
    <w:rsid w:val="61937195"/>
    <w:rsid w:val="61944E4E"/>
    <w:rsid w:val="61972B79"/>
    <w:rsid w:val="619872D1"/>
    <w:rsid w:val="619F7215"/>
    <w:rsid w:val="61A95324"/>
    <w:rsid w:val="61AA2B1C"/>
    <w:rsid w:val="61B02285"/>
    <w:rsid w:val="61BD0FD1"/>
    <w:rsid w:val="61C63667"/>
    <w:rsid w:val="61D033C7"/>
    <w:rsid w:val="61D2628F"/>
    <w:rsid w:val="61D72ED5"/>
    <w:rsid w:val="61D978CA"/>
    <w:rsid w:val="61E07E1D"/>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6292"/>
    <w:rsid w:val="624F22B9"/>
    <w:rsid w:val="6250003B"/>
    <w:rsid w:val="62555FBC"/>
    <w:rsid w:val="62582A8B"/>
    <w:rsid w:val="625C025D"/>
    <w:rsid w:val="625C1376"/>
    <w:rsid w:val="626041CE"/>
    <w:rsid w:val="62604577"/>
    <w:rsid w:val="62607F0F"/>
    <w:rsid w:val="62646C56"/>
    <w:rsid w:val="62675C23"/>
    <w:rsid w:val="626913D2"/>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706EF"/>
    <w:rsid w:val="637A59E1"/>
    <w:rsid w:val="637F0E1A"/>
    <w:rsid w:val="63815196"/>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91AAD"/>
    <w:rsid w:val="643E383F"/>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656FB"/>
    <w:rsid w:val="64F65983"/>
    <w:rsid w:val="64F92204"/>
    <w:rsid w:val="65004915"/>
    <w:rsid w:val="650771CA"/>
    <w:rsid w:val="650F000D"/>
    <w:rsid w:val="6512513F"/>
    <w:rsid w:val="65154158"/>
    <w:rsid w:val="65172DBA"/>
    <w:rsid w:val="651F03BA"/>
    <w:rsid w:val="6525430A"/>
    <w:rsid w:val="65284F3E"/>
    <w:rsid w:val="652924E8"/>
    <w:rsid w:val="652B35FB"/>
    <w:rsid w:val="6531370D"/>
    <w:rsid w:val="653208EA"/>
    <w:rsid w:val="653331D8"/>
    <w:rsid w:val="65381A6A"/>
    <w:rsid w:val="653D4722"/>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B3091"/>
    <w:rsid w:val="65A16EE2"/>
    <w:rsid w:val="65AA2639"/>
    <w:rsid w:val="65AE1917"/>
    <w:rsid w:val="65B05F69"/>
    <w:rsid w:val="65B33093"/>
    <w:rsid w:val="65B455FE"/>
    <w:rsid w:val="65BC78B0"/>
    <w:rsid w:val="65C560F4"/>
    <w:rsid w:val="65CA2BB7"/>
    <w:rsid w:val="65D83D90"/>
    <w:rsid w:val="65DC17B9"/>
    <w:rsid w:val="65E21C0A"/>
    <w:rsid w:val="65E24FDC"/>
    <w:rsid w:val="65E900F4"/>
    <w:rsid w:val="65EA53B7"/>
    <w:rsid w:val="65EA5432"/>
    <w:rsid w:val="65EF5FEE"/>
    <w:rsid w:val="65F078C4"/>
    <w:rsid w:val="65FB591C"/>
    <w:rsid w:val="65FF726F"/>
    <w:rsid w:val="6601483B"/>
    <w:rsid w:val="661000CD"/>
    <w:rsid w:val="661053D5"/>
    <w:rsid w:val="66115FAF"/>
    <w:rsid w:val="661512C2"/>
    <w:rsid w:val="66181F64"/>
    <w:rsid w:val="6623171D"/>
    <w:rsid w:val="6626588D"/>
    <w:rsid w:val="6629217B"/>
    <w:rsid w:val="662F5A92"/>
    <w:rsid w:val="663239F8"/>
    <w:rsid w:val="6635553E"/>
    <w:rsid w:val="663E5828"/>
    <w:rsid w:val="66406116"/>
    <w:rsid w:val="66491DB7"/>
    <w:rsid w:val="664F4FF4"/>
    <w:rsid w:val="66545A96"/>
    <w:rsid w:val="66557E51"/>
    <w:rsid w:val="66561F3C"/>
    <w:rsid w:val="665A6B7C"/>
    <w:rsid w:val="66637DF7"/>
    <w:rsid w:val="66665226"/>
    <w:rsid w:val="667570C0"/>
    <w:rsid w:val="667A32AF"/>
    <w:rsid w:val="66813ACD"/>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333E25"/>
    <w:rsid w:val="6737473D"/>
    <w:rsid w:val="673F566D"/>
    <w:rsid w:val="67477A3D"/>
    <w:rsid w:val="674836B0"/>
    <w:rsid w:val="674A7242"/>
    <w:rsid w:val="6750530D"/>
    <w:rsid w:val="67534BA2"/>
    <w:rsid w:val="67627CB0"/>
    <w:rsid w:val="67646E19"/>
    <w:rsid w:val="67667554"/>
    <w:rsid w:val="6768236C"/>
    <w:rsid w:val="677118EF"/>
    <w:rsid w:val="6774106C"/>
    <w:rsid w:val="67753DAD"/>
    <w:rsid w:val="67756A70"/>
    <w:rsid w:val="67775291"/>
    <w:rsid w:val="67787FBF"/>
    <w:rsid w:val="677971DA"/>
    <w:rsid w:val="677D64DB"/>
    <w:rsid w:val="677E2F2F"/>
    <w:rsid w:val="6781373C"/>
    <w:rsid w:val="678502AE"/>
    <w:rsid w:val="67883DC2"/>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93324"/>
    <w:rsid w:val="67DC3979"/>
    <w:rsid w:val="67E30381"/>
    <w:rsid w:val="67E52885"/>
    <w:rsid w:val="67E81682"/>
    <w:rsid w:val="67E86538"/>
    <w:rsid w:val="67E96C00"/>
    <w:rsid w:val="67EA07C1"/>
    <w:rsid w:val="67EE61ED"/>
    <w:rsid w:val="67F43FF6"/>
    <w:rsid w:val="67FC5BF8"/>
    <w:rsid w:val="6807753D"/>
    <w:rsid w:val="6813706E"/>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E2553"/>
    <w:rsid w:val="68E5744A"/>
    <w:rsid w:val="68E90916"/>
    <w:rsid w:val="68EE43B5"/>
    <w:rsid w:val="68F4009D"/>
    <w:rsid w:val="68F43917"/>
    <w:rsid w:val="68F502B2"/>
    <w:rsid w:val="69032EE2"/>
    <w:rsid w:val="69147FD7"/>
    <w:rsid w:val="691C241A"/>
    <w:rsid w:val="6923324E"/>
    <w:rsid w:val="69285A92"/>
    <w:rsid w:val="692D45F6"/>
    <w:rsid w:val="69322422"/>
    <w:rsid w:val="69335D49"/>
    <w:rsid w:val="69536376"/>
    <w:rsid w:val="69552E6A"/>
    <w:rsid w:val="695D425A"/>
    <w:rsid w:val="69611823"/>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D7F9F"/>
    <w:rsid w:val="69E31EF0"/>
    <w:rsid w:val="69E90668"/>
    <w:rsid w:val="69ED5274"/>
    <w:rsid w:val="69F47F8E"/>
    <w:rsid w:val="69F55347"/>
    <w:rsid w:val="69F56D77"/>
    <w:rsid w:val="69FB1DED"/>
    <w:rsid w:val="69FD3E80"/>
    <w:rsid w:val="6A003B69"/>
    <w:rsid w:val="6A041C66"/>
    <w:rsid w:val="6A085ABB"/>
    <w:rsid w:val="6A0928E3"/>
    <w:rsid w:val="6A092A0D"/>
    <w:rsid w:val="6A1E0E64"/>
    <w:rsid w:val="6A2927D5"/>
    <w:rsid w:val="6A3205AE"/>
    <w:rsid w:val="6A333626"/>
    <w:rsid w:val="6A3B10DA"/>
    <w:rsid w:val="6A3C3F5C"/>
    <w:rsid w:val="6A407024"/>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47694"/>
    <w:rsid w:val="6B666A66"/>
    <w:rsid w:val="6B687879"/>
    <w:rsid w:val="6B6C74E1"/>
    <w:rsid w:val="6B713FC1"/>
    <w:rsid w:val="6B7357C3"/>
    <w:rsid w:val="6B832B21"/>
    <w:rsid w:val="6B867E5C"/>
    <w:rsid w:val="6B88607A"/>
    <w:rsid w:val="6B9150FF"/>
    <w:rsid w:val="6B946BF3"/>
    <w:rsid w:val="6BA2350F"/>
    <w:rsid w:val="6BA31178"/>
    <w:rsid w:val="6BB2108D"/>
    <w:rsid w:val="6BD4209E"/>
    <w:rsid w:val="6BD82F70"/>
    <w:rsid w:val="6BDB61D4"/>
    <w:rsid w:val="6BE223DA"/>
    <w:rsid w:val="6BE85FD3"/>
    <w:rsid w:val="6BF04529"/>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60E2E"/>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91032E"/>
    <w:rsid w:val="6D9A7080"/>
    <w:rsid w:val="6DA434FE"/>
    <w:rsid w:val="6DA86646"/>
    <w:rsid w:val="6DAE1C38"/>
    <w:rsid w:val="6DB2070A"/>
    <w:rsid w:val="6DB7599D"/>
    <w:rsid w:val="6DC12404"/>
    <w:rsid w:val="6DC24126"/>
    <w:rsid w:val="6DC3540E"/>
    <w:rsid w:val="6DC96A9D"/>
    <w:rsid w:val="6DCD448E"/>
    <w:rsid w:val="6DD53FF8"/>
    <w:rsid w:val="6DD829F0"/>
    <w:rsid w:val="6DDF7647"/>
    <w:rsid w:val="6DE36825"/>
    <w:rsid w:val="6DE53394"/>
    <w:rsid w:val="6DE70C3E"/>
    <w:rsid w:val="6DE7336C"/>
    <w:rsid w:val="6DFC7B9F"/>
    <w:rsid w:val="6E0760D0"/>
    <w:rsid w:val="6E0927C5"/>
    <w:rsid w:val="6E1158BA"/>
    <w:rsid w:val="6E185997"/>
    <w:rsid w:val="6E1A373A"/>
    <w:rsid w:val="6E1A7481"/>
    <w:rsid w:val="6E1B105E"/>
    <w:rsid w:val="6E1F5D69"/>
    <w:rsid w:val="6E220C97"/>
    <w:rsid w:val="6E224A5B"/>
    <w:rsid w:val="6E27618D"/>
    <w:rsid w:val="6E35129D"/>
    <w:rsid w:val="6E39201E"/>
    <w:rsid w:val="6E4811D7"/>
    <w:rsid w:val="6E4A7C2E"/>
    <w:rsid w:val="6E511F12"/>
    <w:rsid w:val="6E617CA9"/>
    <w:rsid w:val="6E6C32CD"/>
    <w:rsid w:val="6E6F4755"/>
    <w:rsid w:val="6E737B36"/>
    <w:rsid w:val="6E7409D9"/>
    <w:rsid w:val="6E77033D"/>
    <w:rsid w:val="6E7C4E3C"/>
    <w:rsid w:val="6E865687"/>
    <w:rsid w:val="6E912F38"/>
    <w:rsid w:val="6E921DA1"/>
    <w:rsid w:val="6E940B04"/>
    <w:rsid w:val="6E965300"/>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EA4297"/>
    <w:rsid w:val="6EF00518"/>
    <w:rsid w:val="6EF219BB"/>
    <w:rsid w:val="6F004303"/>
    <w:rsid w:val="6F045596"/>
    <w:rsid w:val="6F06324C"/>
    <w:rsid w:val="6F0810D3"/>
    <w:rsid w:val="6F0D32C5"/>
    <w:rsid w:val="6F0D6FAE"/>
    <w:rsid w:val="6F102A16"/>
    <w:rsid w:val="6F132315"/>
    <w:rsid w:val="6F193EA2"/>
    <w:rsid w:val="6F1A6406"/>
    <w:rsid w:val="6F1B7484"/>
    <w:rsid w:val="6F1F6E65"/>
    <w:rsid w:val="6F247658"/>
    <w:rsid w:val="6F300304"/>
    <w:rsid w:val="6F364E6A"/>
    <w:rsid w:val="6F477C73"/>
    <w:rsid w:val="6F494657"/>
    <w:rsid w:val="6F497592"/>
    <w:rsid w:val="6F58211E"/>
    <w:rsid w:val="6F5C2A7B"/>
    <w:rsid w:val="6F607092"/>
    <w:rsid w:val="6F6276D1"/>
    <w:rsid w:val="6F6277C3"/>
    <w:rsid w:val="6F631F0A"/>
    <w:rsid w:val="6F64001B"/>
    <w:rsid w:val="6F6538C4"/>
    <w:rsid w:val="6F671B6F"/>
    <w:rsid w:val="6F8426D4"/>
    <w:rsid w:val="6F897F4B"/>
    <w:rsid w:val="6F8C5AA5"/>
    <w:rsid w:val="6F8F537D"/>
    <w:rsid w:val="6F9B34F3"/>
    <w:rsid w:val="6FA274A1"/>
    <w:rsid w:val="6FA32C4E"/>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8667D"/>
    <w:rsid w:val="71196FB8"/>
    <w:rsid w:val="711D328F"/>
    <w:rsid w:val="71276823"/>
    <w:rsid w:val="712E1A7A"/>
    <w:rsid w:val="713122F0"/>
    <w:rsid w:val="71346AEB"/>
    <w:rsid w:val="71367813"/>
    <w:rsid w:val="713B4C32"/>
    <w:rsid w:val="713C5C10"/>
    <w:rsid w:val="714D267F"/>
    <w:rsid w:val="71507CEF"/>
    <w:rsid w:val="71524583"/>
    <w:rsid w:val="715455B3"/>
    <w:rsid w:val="71553813"/>
    <w:rsid w:val="715B17FA"/>
    <w:rsid w:val="715D4E0B"/>
    <w:rsid w:val="715E557A"/>
    <w:rsid w:val="715F1F9A"/>
    <w:rsid w:val="71690217"/>
    <w:rsid w:val="716A46B9"/>
    <w:rsid w:val="717801A9"/>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505FF"/>
    <w:rsid w:val="727524C5"/>
    <w:rsid w:val="727A2878"/>
    <w:rsid w:val="727A7D1A"/>
    <w:rsid w:val="727B4290"/>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E1997"/>
    <w:rsid w:val="72D006F0"/>
    <w:rsid w:val="72D91102"/>
    <w:rsid w:val="72DD74F0"/>
    <w:rsid w:val="72E27A0E"/>
    <w:rsid w:val="72EF09E9"/>
    <w:rsid w:val="72F0664A"/>
    <w:rsid w:val="72FC45F3"/>
    <w:rsid w:val="72FE328E"/>
    <w:rsid w:val="72FE7704"/>
    <w:rsid w:val="73034A50"/>
    <w:rsid w:val="730462D7"/>
    <w:rsid w:val="7306194D"/>
    <w:rsid w:val="73153633"/>
    <w:rsid w:val="7316638E"/>
    <w:rsid w:val="7316705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838A6"/>
    <w:rsid w:val="73E87940"/>
    <w:rsid w:val="73EF34A0"/>
    <w:rsid w:val="73F33807"/>
    <w:rsid w:val="73F67C10"/>
    <w:rsid w:val="73FC210E"/>
    <w:rsid w:val="740230FB"/>
    <w:rsid w:val="740870DF"/>
    <w:rsid w:val="740F2555"/>
    <w:rsid w:val="740F2B8B"/>
    <w:rsid w:val="740F2BA4"/>
    <w:rsid w:val="74142294"/>
    <w:rsid w:val="74185F17"/>
    <w:rsid w:val="741E5779"/>
    <w:rsid w:val="742227D1"/>
    <w:rsid w:val="74277835"/>
    <w:rsid w:val="74283D09"/>
    <w:rsid w:val="742B00D0"/>
    <w:rsid w:val="742E587E"/>
    <w:rsid w:val="743965EB"/>
    <w:rsid w:val="74410C1E"/>
    <w:rsid w:val="744810E9"/>
    <w:rsid w:val="74525205"/>
    <w:rsid w:val="745471DF"/>
    <w:rsid w:val="745D77C8"/>
    <w:rsid w:val="74663D42"/>
    <w:rsid w:val="746D50DA"/>
    <w:rsid w:val="746F7244"/>
    <w:rsid w:val="7471001B"/>
    <w:rsid w:val="74716A08"/>
    <w:rsid w:val="747A6F58"/>
    <w:rsid w:val="747B7F4A"/>
    <w:rsid w:val="747C4DE9"/>
    <w:rsid w:val="74806D03"/>
    <w:rsid w:val="74813EEA"/>
    <w:rsid w:val="74886C9D"/>
    <w:rsid w:val="748E40CB"/>
    <w:rsid w:val="74902902"/>
    <w:rsid w:val="74905AB6"/>
    <w:rsid w:val="749A353B"/>
    <w:rsid w:val="749E3A5B"/>
    <w:rsid w:val="74B30C33"/>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4F3F"/>
    <w:rsid w:val="75AD5DED"/>
    <w:rsid w:val="75AD6B4D"/>
    <w:rsid w:val="75B57B03"/>
    <w:rsid w:val="75B7184F"/>
    <w:rsid w:val="75C14F57"/>
    <w:rsid w:val="75CD7D4D"/>
    <w:rsid w:val="75D44B9C"/>
    <w:rsid w:val="75D6554E"/>
    <w:rsid w:val="75D9472D"/>
    <w:rsid w:val="75E4155A"/>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510D9"/>
    <w:rsid w:val="76634ABB"/>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BF582A"/>
    <w:rsid w:val="76C524B6"/>
    <w:rsid w:val="76C531DC"/>
    <w:rsid w:val="76CD0623"/>
    <w:rsid w:val="76CF40F0"/>
    <w:rsid w:val="76D2560C"/>
    <w:rsid w:val="76D63596"/>
    <w:rsid w:val="76D65BBC"/>
    <w:rsid w:val="76D823FA"/>
    <w:rsid w:val="76D84669"/>
    <w:rsid w:val="76DA0CCD"/>
    <w:rsid w:val="76ED2324"/>
    <w:rsid w:val="76F2006B"/>
    <w:rsid w:val="76F61F1D"/>
    <w:rsid w:val="76FB2FAF"/>
    <w:rsid w:val="76FE5A26"/>
    <w:rsid w:val="76FF12B1"/>
    <w:rsid w:val="77031448"/>
    <w:rsid w:val="77073F43"/>
    <w:rsid w:val="770F3B36"/>
    <w:rsid w:val="771071DC"/>
    <w:rsid w:val="77184032"/>
    <w:rsid w:val="772209CB"/>
    <w:rsid w:val="7723195D"/>
    <w:rsid w:val="772A1315"/>
    <w:rsid w:val="7734235A"/>
    <w:rsid w:val="773D2B51"/>
    <w:rsid w:val="773F59CC"/>
    <w:rsid w:val="774E7377"/>
    <w:rsid w:val="774F5379"/>
    <w:rsid w:val="77537360"/>
    <w:rsid w:val="77583047"/>
    <w:rsid w:val="775A67F8"/>
    <w:rsid w:val="775D0DCF"/>
    <w:rsid w:val="776558E7"/>
    <w:rsid w:val="77724A87"/>
    <w:rsid w:val="777344D6"/>
    <w:rsid w:val="777372B3"/>
    <w:rsid w:val="777525EF"/>
    <w:rsid w:val="777E00BA"/>
    <w:rsid w:val="778A6405"/>
    <w:rsid w:val="778C3CA6"/>
    <w:rsid w:val="778F33CE"/>
    <w:rsid w:val="779232E0"/>
    <w:rsid w:val="77931EFF"/>
    <w:rsid w:val="779F47B2"/>
    <w:rsid w:val="77A50807"/>
    <w:rsid w:val="77AF421C"/>
    <w:rsid w:val="77B36B5D"/>
    <w:rsid w:val="77B61118"/>
    <w:rsid w:val="77B75A06"/>
    <w:rsid w:val="77C0217C"/>
    <w:rsid w:val="77C73C66"/>
    <w:rsid w:val="77CC6CB8"/>
    <w:rsid w:val="77D0780A"/>
    <w:rsid w:val="77E1742C"/>
    <w:rsid w:val="77E17891"/>
    <w:rsid w:val="77E4323F"/>
    <w:rsid w:val="77E55DE5"/>
    <w:rsid w:val="77EA424F"/>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B450B"/>
    <w:rsid w:val="78C54E82"/>
    <w:rsid w:val="78C60ED3"/>
    <w:rsid w:val="78C6582A"/>
    <w:rsid w:val="78C709C2"/>
    <w:rsid w:val="78D23B7E"/>
    <w:rsid w:val="78E10719"/>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7F3A23"/>
    <w:rsid w:val="798A6B95"/>
    <w:rsid w:val="798E16DB"/>
    <w:rsid w:val="798F00A9"/>
    <w:rsid w:val="79976D83"/>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463D9"/>
    <w:rsid w:val="7A3974D6"/>
    <w:rsid w:val="7A4060AE"/>
    <w:rsid w:val="7A442764"/>
    <w:rsid w:val="7A4B390A"/>
    <w:rsid w:val="7A4C413A"/>
    <w:rsid w:val="7A5467D6"/>
    <w:rsid w:val="7A55702A"/>
    <w:rsid w:val="7A5675F8"/>
    <w:rsid w:val="7A5B6C79"/>
    <w:rsid w:val="7A5C5D1E"/>
    <w:rsid w:val="7A6064FC"/>
    <w:rsid w:val="7A6C55B5"/>
    <w:rsid w:val="7A6E34CA"/>
    <w:rsid w:val="7A797208"/>
    <w:rsid w:val="7A7F7981"/>
    <w:rsid w:val="7A821419"/>
    <w:rsid w:val="7A831E06"/>
    <w:rsid w:val="7A874FD1"/>
    <w:rsid w:val="7A9143C1"/>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846E5"/>
    <w:rsid w:val="7B1C2184"/>
    <w:rsid w:val="7B2B2FA5"/>
    <w:rsid w:val="7B2D37CA"/>
    <w:rsid w:val="7B5263BB"/>
    <w:rsid w:val="7B576462"/>
    <w:rsid w:val="7B594B85"/>
    <w:rsid w:val="7B5B2668"/>
    <w:rsid w:val="7B5D24AF"/>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E51920"/>
    <w:rsid w:val="7BEC5AB6"/>
    <w:rsid w:val="7BEE02B3"/>
    <w:rsid w:val="7BEE1215"/>
    <w:rsid w:val="7BF54F0F"/>
    <w:rsid w:val="7C013AFE"/>
    <w:rsid w:val="7C142374"/>
    <w:rsid w:val="7C1B24E3"/>
    <w:rsid w:val="7C1F2759"/>
    <w:rsid w:val="7C203471"/>
    <w:rsid w:val="7C214E9E"/>
    <w:rsid w:val="7C222FFB"/>
    <w:rsid w:val="7C2B3FDE"/>
    <w:rsid w:val="7C306EAC"/>
    <w:rsid w:val="7C360911"/>
    <w:rsid w:val="7C370C08"/>
    <w:rsid w:val="7C376987"/>
    <w:rsid w:val="7C41100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D2D79"/>
    <w:rsid w:val="7CFF767A"/>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840A6F"/>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D2B8F"/>
    <w:rsid w:val="7E403F72"/>
    <w:rsid w:val="7E4854DF"/>
    <w:rsid w:val="7E5B6848"/>
    <w:rsid w:val="7E665777"/>
    <w:rsid w:val="7E67389E"/>
    <w:rsid w:val="7E685078"/>
    <w:rsid w:val="7E695545"/>
    <w:rsid w:val="7E7D14C2"/>
    <w:rsid w:val="7E807CD3"/>
    <w:rsid w:val="7E81776E"/>
    <w:rsid w:val="7E827AA6"/>
    <w:rsid w:val="7E8B5F9F"/>
    <w:rsid w:val="7E8C54A3"/>
    <w:rsid w:val="7E8C6F7B"/>
    <w:rsid w:val="7E9056A4"/>
    <w:rsid w:val="7E964E64"/>
    <w:rsid w:val="7EAB6A25"/>
    <w:rsid w:val="7EAB707B"/>
    <w:rsid w:val="7EAE4F21"/>
    <w:rsid w:val="7EB237DA"/>
    <w:rsid w:val="7EB51150"/>
    <w:rsid w:val="7EBF7452"/>
    <w:rsid w:val="7EC54092"/>
    <w:rsid w:val="7ECA224D"/>
    <w:rsid w:val="7ED534FD"/>
    <w:rsid w:val="7ED65889"/>
    <w:rsid w:val="7ED965D6"/>
    <w:rsid w:val="7EE405BA"/>
    <w:rsid w:val="7EE701ED"/>
    <w:rsid w:val="7EEA67B2"/>
    <w:rsid w:val="7EEA6FE3"/>
    <w:rsid w:val="7EF47B20"/>
    <w:rsid w:val="7EF81CCE"/>
    <w:rsid w:val="7F04131E"/>
    <w:rsid w:val="7F0F2694"/>
    <w:rsid w:val="7F1535FF"/>
    <w:rsid w:val="7F193139"/>
    <w:rsid w:val="7F2E4452"/>
    <w:rsid w:val="7F3277A1"/>
    <w:rsid w:val="7F3B3101"/>
    <w:rsid w:val="7F3B4E97"/>
    <w:rsid w:val="7F3D45CB"/>
    <w:rsid w:val="7F3D5899"/>
    <w:rsid w:val="7F405053"/>
    <w:rsid w:val="7F425F57"/>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2</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2020-10-23T09:11:19Z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